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681A1858" w:rsidR="008824AD" w:rsidRPr="008824AD" w:rsidRDefault="008824AD" w:rsidP="008824AD">
      <w:pPr>
        <w:pStyle w:val="Header"/>
        <w:rPr>
          <w:rFonts w:cs="Arial"/>
          <w:bCs/>
          <w:noProof w:val="0"/>
          <w:sz w:val="24"/>
          <w:lang w:val="en-GB"/>
        </w:rPr>
      </w:pPr>
      <w:r w:rsidRPr="008824AD">
        <w:rPr>
          <w:rFonts w:cs="Arial"/>
          <w:bCs/>
          <w:noProof w:val="0"/>
          <w:sz w:val="24"/>
          <w:lang w:val="en-GB"/>
        </w:rPr>
        <w:t>3GPP TSG RAN WG1 Meeting #9</w:t>
      </w:r>
      <w:r w:rsidR="00883CBD">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A83BDD" w:rsidRPr="00A83BDD">
        <w:rPr>
          <w:rFonts w:cs="Arial"/>
          <w:bCs/>
          <w:noProof w:val="0"/>
          <w:sz w:val="24"/>
          <w:lang w:val="en-GB"/>
        </w:rPr>
        <w:t>R1-1806141</w:t>
      </w:r>
    </w:p>
    <w:p w14:paraId="56A8114B" w14:textId="3B157B03" w:rsidR="00CA26CE" w:rsidRDefault="00883CBD" w:rsidP="008824AD">
      <w:pPr>
        <w:pStyle w:val="Header"/>
        <w:rPr>
          <w:rFonts w:cs="Arial"/>
          <w:bCs/>
          <w:noProof w:val="0"/>
          <w:sz w:val="24"/>
          <w:lang w:val="en-GB"/>
        </w:rPr>
      </w:pPr>
      <w:r>
        <w:rPr>
          <w:rFonts w:cs="Arial"/>
          <w:bCs/>
          <w:noProof w:val="0"/>
          <w:sz w:val="24"/>
          <w:lang w:val="en-GB"/>
        </w:rPr>
        <w:t>Busan</w:t>
      </w:r>
      <w:r w:rsidR="008824AD" w:rsidRPr="008824AD">
        <w:rPr>
          <w:rFonts w:cs="Arial"/>
          <w:bCs/>
          <w:noProof w:val="0"/>
          <w:sz w:val="24"/>
          <w:lang w:val="en-GB"/>
        </w:rPr>
        <w:t xml:space="preserve">, </w:t>
      </w:r>
      <w:r>
        <w:rPr>
          <w:rFonts w:cs="Arial"/>
          <w:bCs/>
          <w:noProof w:val="0"/>
          <w:sz w:val="24"/>
          <w:lang w:val="en-GB"/>
        </w:rPr>
        <w:t>South Korea</w:t>
      </w:r>
      <w:r w:rsidR="008824AD" w:rsidRPr="008824AD">
        <w:rPr>
          <w:rFonts w:cs="Arial"/>
          <w:bCs/>
          <w:noProof w:val="0"/>
          <w:sz w:val="24"/>
          <w:lang w:val="en-GB"/>
        </w:rPr>
        <w:t xml:space="preserve">, </w:t>
      </w:r>
      <w:r>
        <w:rPr>
          <w:rFonts w:cs="Arial"/>
          <w:bCs/>
          <w:noProof w:val="0"/>
          <w:sz w:val="24"/>
          <w:lang w:val="en-GB"/>
        </w:rPr>
        <w:t>May</w:t>
      </w:r>
      <w:r w:rsidR="008824AD" w:rsidRPr="008824AD">
        <w:rPr>
          <w:rFonts w:cs="Arial"/>
          <w:bCs/>
          <w:noProof w:val="0"/>
          <w:sz w:val="24"/>
          <w:lang w:val="en-GB"/>
        </w:rPr>
        <w:t xml:space="preserve"> </w:t>
      </w:r>
      <w:r>
        <w:rPr>
          <w:rFonts w:cs="Arial"/>
          <w:bCs/>
          <w:noProof w:val="0"/>
          <w:sz w:val="24"/>
          <w:lang w:val="en-GB"/>
        </w:rPr>
        <w:t>21st</w:t>
      </w:r>
      <w:r w:rsidR="008824AD" w:rsidRPr="008824AD">
        <w:rPr>
          <w:rFonts w:cs="Arial"/>
          <w:bCs/>
          <w:noProof w:val="0"/>
          <w:sz w:val="24"/>
          <w:lang w:val="en-GB"/>
        </w:rPr>
        <w:t xml:space="preserve"> – 2</w:t>
      </w:r>
      <w:r>
        <w:rPr>
          <w:rFonts w:cs="Arial"/>
          <w:bCs/>
          <w:noProof w:val="0"/>
          <w:sz w:val="24"/>
          <w:lang w:val="en-GB"/>
        </w:rPr>
        <w:t>5</w:t>
      </w:r>
      <w:r w:rsidR="008824AD" w:rsidRPr="008824AD">
        <w:rPr>
          <w:rFonts w:cs="Arial"/>
          <w:bCs/>
          <w:noProof w:val="0"/>
          <w:sz w:val="24"/>
          <w:lang w:val="en-GB"/>
        </w:rPr>
        <w:t>th, 2018</w:t>
      </w:r>
    </w:p>
    <w:p w14:paraId="62BDED9C" w14:textId="77777777" w:rsidR="008824AD" w:rsidRPr="0016316A" w:rsidRDefault="008824AD" w:rsidP="008824AD">
      <w:pPr>
        <w:pStyle w:val="Header"/>
        <w:rPr>
          <w:bCs/>
          <w:noProof w:val="0"/>
          <w:sz w:val="24"/>
          <w:lang w:val="en-GB" w:eastAsia="ja-JP"/>
        </w:rPr>
      </w:pPr>
    </w:p>
    <w:p w14:paraId="08AC4AD5" w14:textId="489C706B"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Pr>
          <w:rFonts w:cs="Arial"/>
          <w:b/>
          <w:bCs/>
          <w:sz w:val="24"/>
        </w:rPr>
        <w:t>7.</w:t>
      </w:r>
      <w:r w:rsidR="00B11646">
        <w:rPr>
          <w:rFonts w:cs="Arial"/>
          <w:b/>
          <w:bCs/>
          <w:sz w:val="24"/>
        </w:rPr>
        <w:t>1.</w:t>
      </w:r>
      <w:r w:rsidR="00E215CE">
        <w:rPr>
          <w:rFonts w:cs="Arial"/>
          <w:b/>
          <w:bCs/>
          <w:sz w:val="24"/>
        </w:rPr>
        <w:t>3.1.</w:t>
      </w:r>
      <w:r w:rsidR="00EA443E">
        <w:rPr>
          <w:rFonts w:cs="Arial"/>
          <w:b/>
          <w:bCs/>
          <w:sz w:val="24"/>
        </w:rPr>
        <w:t>1</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220AB43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8824AD">
        <w:rPr>
          <w:rFonts w:ascii="Arial" w:hAnsi="Arial" w:cs="Arial"/>
          <w:b/>
          <w:bCs/>
          <w:sz w:val="24"/>
          <w:szCs w:val="24"/>
        </w:rPr>
        <w:t xml:space="preserve">PDCCH </w:t>
      </w:r>
      <w:r w:rsidR="002C0362">
        <w:rPr>
          <w:rFonts w:ascii="Arial" w:hAnsi="Arial" w:cs="Arial"/>
          <w:b/>
          <w:bCs/>
          <w:sz w:val="24"/>
          <w:szCs w:val="24"/>
        </w:rPr>
        <w:t>structure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77777777" w:rsidR="008C6D94" w:rsidRDefault="008C6D94" w:rsidP="003B049E">
      <w:pPr>
        <w:overflowPunct/>
        <w:autoSpaceDE/>
        <w:autoSpaceDN/>
        <w:adjustRightInd/>
        <w:spacing w:before="100" w:beforeAutospacing="1" w:after="100" w:afterAutospacing="1"/>
        <w:jc w:val="both"/>
        <w:textAlignment w:val="auto"/>
        <w:rPr>
          <w:rFonts w:eastAsia="Times New Roman"/>
          <w:lang w:val="en-US"/>
        </w:rPr>
      </w:pPr>
      <w:r>
        <w:rPr>
          <w:rFonts w:eastAsia="Times New Roman"/>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156DD0C9" w14:textId="73576F2E" w:rsidR="008824AD" w:rsidRDefault="00BE4EC9" w:rsidP="00080D0C">
      <w:pPr>
        <w:spacing w:after="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080D0C">
        <w:rPr>
          <w:bCs/>
        </w:rPr>
        <w:t>PDCCH structure</w:t>
      </w:r>
      <w:r w:rsidR="00A920EC">
        <w:rPr>
          <w:bCs/>
        </w:rPr>
        <w:t>. We consider the following items in this TDoc:</w:t>
      </w:r>
    </w:p>
    <w:p w14:paraId="0812DB14" w14:textId="2F4FA647" w:rsidR="0060289D" w:rsidRPr="0060289D" w:rsidRDefault="0060289D" w:rsidP="001674B0">
      <w:pPr>
        <w:pStyle w:val="ListParagraph"/>
        <w:numPr>
          <w:ilvl w:val="0"/>
          <w:numId w:val="39"/>
        </w:numPr>
        <w:jc w:val="both"/>
        <w:rPr>
          <w:bCs/>
          <w:sz w:val="20"/>
          <w:lang w:val="en-US"/>
        </w:rPr>
      </w:pPr>
      <w:r w:rsidRPr="0060289D">
        <w:rPr>
          <w:bCs/>
          <w:sz w:val="20"/>
        </w:rPr>
        <w:t xml:space="preserve">PDCCH DMRS </w:t>
      </w:r>
      <w:r w:rsidR="00876483">
        <w:rPr>
          <w:bCs/>
          <w:sz w:val="20"/>
        </w:rPr>
        <w:t>initiali</w:t>
      </w:r>
      <w:r w:rsidR="00F31D83">
        <w:rPr>
          <w:bCs/>
          <w:sz w:val="20"/>
        </w:rPr>
        <w:t>z</w:t>
      </w:r>
      <w:r w:rsidR="00876483">
        <w:rPr>
          <w:bCs/>
          <w:sz w:val="20"/>
        </w:rPr>
        <w:t>ation</w:t>
      </w:r>
    </w:p>
    <w:p w14:paraId="2C19C29A" w14:textId="1B4B832C" w:rsidR="0060289D" w:rsidRPr="0060289D" w:rsidRDefault="00AA04F8" w:rsidP="001674B0">
      <w:pPr>
        <w:pStyle w:val="ListParagraph"/>
        <w:numPr>
          <w:ilvl w:val="0"/>
          <w:numId w:val="39"/>
        </w:numPr>
        <w:jc w:val="both"/>
        <w:rPr>
          <w:bCs/>
          <w:sz w:val="20"/>
          <w:lang w:val="en-US"/>
        </w:rPr>
      </w:pPr>
      <w:r>
        <w:rPr>
          <w:bCs/>
          <w:sz w:val="20"/>
          <w:lang w:val="en-US"/>
        </w:rPr>
        <w:t>CORESET configurations</w:t>
      </w:r>
    </w:p>
    <w:p w14:paraId="12D0E83E" w14:textId="77777777" w:rsidR="002C0362" w:rsidRDefault="002C0362" w:rsidP="00080D0C">
      <w:pPr>
        <w:spacing w:after="0"/>
        <w:jc w:val="both"/>
        <w:rPr>
          <w:bCs/>
        </w:rPr>
      </w:pPr>
    </w:p>
    <w:p w14:paraId="5CC1B524" w14:textId="04776E20" w:rsidR="00186C5C" w:rsidRPr="00E215CE" w:rsidRDefault="0060289D" w:rsidP="00E01399">
      <w:pPr>
        <w:pStyle w:val="Heading1"/>
        <w:rPr>
          <w:lang w:val="en-US"/>
        </w:rPr>
      </w:pPr>
      <w:r>
        <w:t>PDCCH DMRS initialization</w:t>
      </w:r>
    </w:p>
    <w:p w14:paraId="7E962DD4" w14:textId="12AE9AB3" w:rsidR="0060289D" w:rsidRDefault="00D63C9B" w:rsidP="0060289D">
      <w:pPr>
        <w:overflowPunct/>
        <w:autoSpaceDE/>
        <w:autoSpaceDN/>
        <w:adjustRightInd/>
        <w:spacing w:after="0"/>
        <w:textAlignment w:val="auto"/>
        <w:rPr>
          <w:rFonts w:eastAsia="Times New Roman"/>
          <w:lang w:val="en-US" w:eastAsia="fi-FI"/>
        </w:rPr>
      </w:pPr>
      <w:r>
        <w:rPr>
          <w:rFonts w:eastAsia="Times New Roman"/>
          <w:lang w:val="en-US" w:eastAsia="fi-FI"/>
        </w:rPr>
        <w:t>The sequence generation for PDCCH DMRS is captured</w:t>
      </w:r>
      <w:r w:rsidR="00E4211B">
        <w:rPr>
          <w:rFonts w:eastAsia="Times New Roman"/>
          <w:lang w:val="en-US" w:eastAsia="fi-FI"/>
        </w:rPr>
        <w:t xml:space="preserve"> in TS 38.211 speci</w:t>
      </w:r>
      <w:r w:rsidR="003E0763">
        <w:rPr>
          <w:rFonts w:eastAsia="Times New Roman"/>
          <w:lang w:val="en-US" w:eastAsia="fi-FI"/>
        </w:rPr>
        <w:t>fication</w:t>
      </w:r>
      <w:r w:rsidR="00E4211B">
        <w:rPr>
          <w:rFonts w:eastAsia="Times New Roman"/>
          <w:lang w:val="en-US" w:eastAsia="fi-FI"/>
        </w:rPr>
        <w:t xml:space="preserve"> </w:t>
      </w:r>
      <w:r w:rsidR="00BA675D">
        <w:rPr>
          <w:rFonts w:eastAsia="Times New Roman"/>
          <w:lang w:val="en-US" w:eastAsia="fi-FI"/>
        </w:rPr>
        <w:t xml:space="preserve">[1] </w:t>
      </w:r>
      <w:r w:rsidR="00E4211B">
        <w:rPr>
          <w:rFonts w:eastAsia="Times New Roman"/>
          <w:lang w:val="en-US" w:eastAsia="fi-FI"/>
        </w:rPr>
        <w:t>in the following way:</w:t>
      </w:r>
    </w:p>
    <w:p w14:paraId="1F403DF9" w14:textId="77777777" w:rsidR="0060289D" w:rsidRDefault="0060289D" w:rsidP="00E20577">
      <w:pPr>
        <w:overflowPunct/>
        <w:autoSpaceDE/>
        <w:autoSpaceDN/>
        <w:adjustRightInd/>
        <w:spacing w:after="0"/>
        <w:textAlignment w:val="auto"/>
        <w:rPr>
          <w:rFonts w:eastAsia="Times New Roman"/>
          <w:lang w:val="en-US" w:eastAsia="fi-FI"/>
        </w:rPr>
      </w:pPr>
    </w:p>
    <w:p w14:paraId="0F2F5D8D" w14:textId="5A9DA6D3" w:rsidR="0060289D" w:rsidRDefault="003E0763" w:rsidP="003E0763">
      <w:pPr>
        <w:overflowPunct/>
        <w:autoSpaceDE/>
        <w:autoSpaceDN/>
        <w:adjustRightInd/>
        <w:spacing w:after="0"/>
        <w:jc w:val="center"/>
        <w:textAlignment w:val="auto"/>
        <w:rPr>
          <w:lang w:eastAsia="x-none"/>
        </w:rPr>
      </w:pPr>
      <w:r w:rsidRPr="00295FFD">
        <w:rPr>
          <w:noProof/>
          <w:bdr w:val="single" w:sz="4" w:space="0" w:color="auto"/>
          <w:shd w:val="clear" w:color="auto" w:fill="D9D9D9" w:themeFill="background1" w:themeFillShade="D9"/>
        </w:rPr>
        <w:drawing>
          <wp:inline distT="0" distB="0" distL="0" distR="0" wp14:anchorId="630A1FDF" wp14:editId="726534A1">
            <wp:extent cx="4630521" cy="2328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1528" cy="2339518"/>
                    </a:xfrm>
                    <a:prstGeom prst="rect">
                      <a:avLst/>
                    </a:prstGeom>
                  </pic:spPr>
                </pic:pic>
              </a:graphicData>
            </a:graphic>
          </wp:inline>
        </w:drawing>
      </w:r>
    </w:p>
    <w:p w14:paraId="6D15D6F9" w14:textId="77777777" w:rsidR="003E0763" w:rsidRDefault="003E0763" w:rsidP="00E20577">
      <w:pPr>
        <w:overflowPunct/>
        <w:autoSpaceDE/>
        <w:autoSpaceDN/>
        <w:adjustRightInd/>
        <w:spacing w:after="0"/>
        <w:textAlignment w:val="auto"/>
        <w:rPr>
          <w:lang w:eastAsia="x-none"/>
        </w:rPr>
      </w:pPr>
    </w:p>
    <w:p w14:paraId="6CDA5891" w14:textId="7F84AFA3" w:rsidR="00E95C85" w:rsidRDefault="00D63C9B" w:rsidP="00B555FB">
      <w:pPr>
        <w:overflowPunct/>
        <w:autoSpaceDE/>
        <w:autoSpaceDN/>
        <w:adjustRightInd/>
        <w:spacing w:after="0"/>
        <w:jc w:val="both"/>
        <w:textAlignment w:val="auto"/>
        <w:rPr>
          <w:rFonts w:eastAsia="Times New Roman"/>
          <w:lang w:val="en-US" w:eastAsia="fi-FI"/>
        </w:rPr>
      </w:pPr>
      <w:r>
        <w:rPr>
          <w:rFonts w:eastAsia="Times New Roman"/>
          <w:lang w:val="en-US" w:eastAsia="fi-FI"/>
        </w:rPr>
        <w:t>It can be noted that</w:t>
      </w:r>
      <w:r w:rsidR="00E95C85">
        <w:rPr>
          <w:rFonts w:eastAsia="Times New Roman"/>
          <w:lang w:val="en-US" w:eastAsia="fi-FI"/>
        </w:rPr>
        <w:t xml:space="preserve"> PDCCH</w:t>
      </w:r>
      <w:r w:rsidR="003E0763">
        <w:rPr>
          <w:rFonts w:eastAsia="Times New Roman"/>
          <w:lang w:val="en-US" w:eastAsia="fi-FI"/>
        </w:rPr>
        <w:t xml:space="preserve"> DMRS sequence </w:t>
      </w:r>
      <w:r w:rsidR="00AB37DC">
        <w:rPr>
          <w:rFonts w:eastAsia="Times New Roman"/>
          <w:lang w:val="en-US" w:eastAsia="fi-FI"/>
        </w:rPr>
        <w:t>depends</w:t>
      </w:r>
      <w:r w:rsidR="003E0763">
        <w:rPr>
          <w:rFonts w:eastAsia="Times New Roman"/>
          <w:lang w:val="en-US" w:eastAsia="fi-FI"/>
        </w:rPr>
        <w:t xml:space="preserve"> on both OFDM symbol number within the slot (</w:t>
      </w:r>
      <w:r w:rsidR="003E0763">
        <w:rPr>
          <w:rFonts w:eastAsia="Times New Roman"/>
          <w:i/>
          <w:lang w:val="en-US" w:eastAsia="fi-FI"/>
        </w:rPr>
        <w:t>l)</w:t>
      </w:r>
      <w:r w:rsidR="003E0763">
        <w:rPr>
          <w:rFonts w:eastAsia="Times New Roman"/>
          <w:lang w:val="en-US" w:eastAsia="fi-FI"/>
        </w:rPr>
        <w:t>, and the slot number within a frame (</w:t>
      </w:r>
      <w:r w:rsidR="003E0763">
        <w:rPr>
          <w:rFonts w:eastAsia="Times New Roman"/>
          <w:position w:val="-14"/>
        </w:rPr>
        <w:object w:dxaOrig="345" w:dyaOrig="375" w14:anchorId="5035E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9.2pt" o:ole="">
            <v:imagedata r:id="rId14" o:title=""/>
          </v:shape>
          <o:OLEObject Type="Embed" ProgID="Equation.3" ShapeID="_x0000_i1025" DrawAspect="Content" ObjectID="_1587561668" r:id="rId15"/>
        </w:object>
      </w:r>
      <w:r w:rsidR="003E0763">
        <w:rPr>
          <w:rFonts w:eastAsia="Times New Roman"/>
          <w:lang w:val="en-US" w:eastAsia="fi-FI"/>
        </w:rPr>
        <w:t>).</w:t>
      </w:r>
      <w:r w:rsidR="00E95C85">
        <w:rPr>
          <w:rFonts w:eastAsia="Times New Roman"/>
          <w:lang w:val="en-US" w:eastAsia="fi-FI"/>
        </w:rPr>
        <w:t xml:space="preserve"> </w:t>
      </w:r>
      <w:r>
        <w:rPr>
          <w:rFonts w:eastAsia="Times New Roman"/>
          <w:lang w:val="en-US" w:eastAsia="fi-FI"/>
        </w:rPr>
        <w:t xml:space="preserve">We </w:t>
      </w:r>
      <w:r w:rsidR="00BA675D">
        <w:rPr>
          <w:rFonts w:eastAsia="Times New Roman"/>
          <w:lang w:val="en-US" w:eastAsia="fi-FI"/>
        </w:rPr>
        <w:t>think</w:t>
      </w:r>
      <w:r w:rsidR="00E95C85">
        <w:rPr>
          <w:rFonts w:eastAsia="Times New Roman"/>
          <w:lang w:val="en-US" w:eastAsia="fi-FI"/>
        </w:rPr>
        <w:t xml:space="preserve"> that this kind of behavior </w:t>
      </w:r>
      <w:r w:rsidR="005A57FB">
        <w:rPr>
          <w:rFonts w:eastAsia="Times New Roman"/>
          <w:lang w:val="en-US" w:eastAsia="fi-FI"/>
        </w:rPr>
        <w:t>is not</w:t>
      </w:r>
      <w:r>
        <w:rPr>
          <w:rFonts w:eastAsia="Times New Roman"/>
          <w:lang w:val="en-US" w:eastAsia="fi-FI"/>
        </w:rPr>
        <w:t xml:space="preserve"> preferred </w:t>
      </w:r>
      <w:r w:rsidR="00876483">
        <w:rPr>
          <w:rFonts w:eastAsia="Times New Roman"/>
          <w:lang w:val="en-US" w:eastAsia="fi-FI"/>
        </w:rPr>
        <w:t>for operation of NR in unlicensed band (</w:t>
      </w:r>
      <w:r w:rsidR="00E95C85">
        <w:rPr>
          <w:rFonts w:eastAsia="Times New Roman"/>
          <w:lang w:val="en-US" w:eastAsia="fi-FI"/>
        </w:rPr>
        <w:t>NR-U</w:t>
      </w:r>
      <w:r w:rsidR="00876483">
        <w:rPr>
          <w:rFonts w:eastAsia="Times New Roman"/>
          <w:lang w:val="en-US" w:eastAsia="fi-FI"/>
        </w:rPr>
        <w:t>)</w:t>
      </w:r>
      <w:r w:rsidR="00E95C85">
        <w:rPr>
          <w:rFonts w:eastAsia="Times New Roman"/>
          <w:lang w:val="en-US" w:eastAsia="fi-FI"/>
        </w:rPr>
        <w:t xml:space="preserve">. This is </w:t>
      </w:r>
      <w:r w:rsidR="00B555FB">
        <w:rPr>
          <w:rFonts w:eastAsia="Times New Roman"/>
          <w:lang w:val="en-US" w:eastAsia="fi-FI"/>
        </w:rPr>
        <w:t>because the</w:t>
      </w:r>
      <w:r w:rsidR="00D0246D" w:rsidRPr="00D0246D">
        <w:rPr>
          <w:rFonts w:eastAsia="Times New Roman"/>
          <w:lang w:val="en-US" w:eastAsia="fi-FI"/>
        </w:rPr>
        <w:t xml:space="preserve"> gNB is contending for channel access on unlicensed band, gNB needs to have a mini-slot or slot ready for transmission, but it does not know when it </w:t>
      </w:r>
      <w:r w:rsidR="00B555FB">
        <w:rPr>
          <w:rFonts w:eastAsia="Times New Roman"/>
          <w:lang w:val="en-US" w:eastAsia="fi-FI"/>
        </w:rPr>
        <w:t>will be able to</w:t>
      </w:r>
      <w:r w:rsidR="00D0246D" w:rsidRPr="00D0246D">
        <w:rPr>
          <w:rFonts w:eastAsia="Times New Roman"/>
          <w:lang w:val="en-US" w:eastAsia="fi-FI"/>
        </w:rPr>
        <w:t xml:space="preserve"> access channel and transmit the prepared mini-slot/slot. </w:t>
      </w:r>
      <w:r w:rsidR="00E95C85">
        <w:rPr>
          <w:rFonts w:eastAsia="Times New Roman"/>
          <w:lang w:val="en-US" w:eastAsia="fi-FI"/>
        </w:rPr>
        <w:t>When</w:t>
      </w:r>
      <w:r w:rsidR="00D0246D" w:rsidRPr="00D0246D">
        <w:rPr>
          <w:rFonts w:eastAsia="Times New Roman"/>
          <w:lang w:val="en-US" w:eastAsia="fi-FI"/>
        </w:rPr>
        <w:t xml:space="preserve"> mini-slot structure</w:t>
      </w:r>
      <w:r w:rsidR="00E95C85">
        <w:rPr>
          <w:rFonts w:eastAsia="Times New Roman"/>
          <w:lang w:val="en-US" w:eastAsia="fi-FI"/>
        </w:rPr>
        <w:t xml:space="preserve"> (including PDCCH DMRS)</w:t>
      </w:r>
      <w:r w:rsidR="00D0246D" w:rsidRPr="00D0246D">
        <w:rPr>
          <w:rFonts w:eastAsia="Times New Roman"/>
          <w:lang w:val="en-US" w:eastAsia="fi-FI"/>
        </w:rPr>
        <w:t xml:space="preserve"> depends on the </w:t>
      </w:r>
      <w:r w:rsidR="00E95C85">
        <w:rPr>
          <w:rFonts w:eastAsia="Times New Roman"/>
          <w:lang w:val="en-US" w:eastAsia="fi-FI"/>
        </w:rPr>
        <w:t xml:space="preserve">absolute </w:t>
      </w:r>
      <w:r w:rsidR="00D0246D" w:rsidRPr="00D0246D">
        <w:rPr>
          <w:rFonts w:eastAsia="Times New Roman"/>
          <w:lang w:val="en-US" w:eastAsia="fi-FI"/>
        </w:rPr>
        <w:t>time</w:t>
      </w:r>
      <w:r w:rsidR="00E95C85">
        <w:rPr>
          <w:rFonts w:eastAsia="Times New Roman"/>
          <w:lang w:val="en-US" w:eastAsia="fi-FI"/>
        </w:rPr>
        <w:t xml:space="preserve"> such as OFDM symbol number</w:t>
      </w:r>
      <w:r w:rsidR="006E0651">
        <w:rPr>
          <w:rFonts w:eastAsia="Times New Roman"/>
          <w:lang w:val="en-US" w:eastAsia="fi-FI"/>
        </w:rPr>
        <w:t xml:space="preserve"> </w:t>
      </w:r>
      <w:r w:rsidR="005A57FB">
        <w:rPr>
          <w:rFonts w:eastAsia="Times New Roman"/>
          <w:lang w:val="en-US" w:eastAsia="fi-FI"/>
        </w:rPr>
        <w:t>and/</w:t>
      </w:r>
      <w:r w:rsidR="006E0651">
        <w:rPr>
          <w:rFonts w:eastAsia="Times New Roman"/>
          <w:lang w:val="en-US" w:eastAsia="fi-FI"/>
        </w:rPr>
        <w:t>or slot number</w:t>
      </w:r>
      <w:r w:rsidR="005A57FB">
        <w:rPr>
          <w:rFonts w:eastAsia="Times New Roman"/>
          <w:lang w:val="en-US" w:eastAsia="fi-FI"/>
        </w:rPr>
        <w:t xml:space="preserve"> within a frame</w:t>
      </w:r>
      <w:r w:rsidR="00D0246D" w:rsidRPr="00D0246D">
        <w:rPr>
          <w:rFonts w:eastAsia="Times New Roman"/>
          <w:lang w:val="en-US" w:eastAsia="fi-FI"/>
        </w:rPr>
        <w:t>, gNB needs to repeatedly re-build mini-slots</w:t>
      </w:r>
      <w:r w:rsidR="00E45E0C">
        <w:rPr>
          <w:rFonts w:eastAsia="Times New Roman"/>
          <w:lang w:val="en-US" w:eastAsia="fi-FI"/>
        </w:rPr>
        <w:t>/slots</w:t>
      </w:r>
      <w:r w:rsidR="00D0246D" w:rsidRPr="00D0246D">
        <w:rPr>
          <w:rFonts w:eastAsia="Times New Roman"/>
          <w:lang w:val="en-US" w:eastAsia="fi-FI"/>
        </w:rPr>
        <w:t xml:space="preserve"> with the same data while it is contending for channel access. </w:t>
      </w:r>
    </w:p>
    <w:p w14:paraId="6C5CE6B2" w14:textId="77777777" w:rsidR="00E95C85" w:rsidRDefault="00E95C85" w:rsidP="00B555FB">
      <w:pPr>
        <w:overflowPunct/>
        <w:autoSpaceDE/>
        <w:autoSpaceDN/>
        <w:adjustRightInd/>
        <w:spacing w:after="0"/>
        <w:jc w:val="both"/>
        <w:textAlignment w:val="auto"/>
        <w:rPr>
          <w:rFonts w:eastAsia="Times New Roman"/>
          <w:lang w:val="en-US" w:eastAsia="fi-FI"/>
        </w:rPr>
      </w:pPr>
    </w:p>
    <w:p w14:paraId="578EB0C5" w14:textId="4A378FB9" w:rsidR="006E0651" w:rsidRDefault="006E0651" w:rsidP="00B555FB">
      <w:pPr>
        <w:overflowPunct/>
        <w:autoSpaceDE/>
        <w:autoSpaceDN/>
        <w:adjustRightInd/>
        <w:spacing w:after="0"/>
        <w:jc w:val="both"/>
        <w:textAlignment w:val="auto"/>
        <w:rPr>
          <w:rFonts w:eastAsia="Times New Roman"/>
          <w:lang w:val="en-US" w:eastAsia="fi-FI"/>
        </w:rPr>
      </w:pPr>
      <w:r>
        <w:rPr>
          <w:rFonts w:eastAsia="Times New Roman"/>
          <w:lang w:val="en-US" w:eastAsia="fi-FI"/>
        </w:rPr>
        <w:t>A simpler implementation c</w:t>
      </w:r>
      <w:r w:rsidR="00BA675D">
        <w:rPr>
          <w:rFonts w:eastAsia="Times New Roman"/>
          <w:lang w:val="en-US" w:eastAsia="fi-FI"/>
        </w:rPr>
        <w:t>ould</w:t>
      </w:r>
      <w:r>
        <w:rPr>
          <w:rFonts w:eastAsia="Times New Roman"/>
          <w:lang w:val="en-US" w:eastAsia="fi-FI"/>
        </w:rPr>
        <w:t xml:space="preserve"> be </w:t>
      </w:r>
      <w:r w:rsidR="00D0246D" w:rsidRPr="00D0246D">
        <w:rPr>
          <w:rFonts w:eastAsia="Times New Roman"/>
          <w:lang w:val="en-US" w:eastAsia="fi-FI"/>
        </w:rPr>
        <w:t>achieved if gNB can build a mini-slot</w:t>
      </w:r>
      <w:r>
        <w:rPr>
          <w:rFonts w:eastAsia="Times New Roman"/>
          <w:lang w:val="en-US" w:eastAsia="fi-FI"/>
        </w:rPr>
        <w:t>/slot</w:t>
      </w:r>
      <w:r w:rsidR="00D0246D" w:rsidRPr="00D0246D">
        <w:rPr>
          <w:rFonts w:eastAsia="Times New Roman"/>
          <w:lang w:val="en-US" w:eastAsia="fi-FI"/>
        </w:rPr>
        <w:t xml:space="preserve"> only once and then wait for channel access. This is possible if </w:t>
      </w:r>
      <w:r w:rsidR="005A57FB">
        <w:rPr>
          <w:rFonts w:eastAsia="Times New Roman"/>
          <w:lang w:val="en-US" w:eastAsia="fi-FI"/>
        </w:rPr>
        <w:t xml:space="preserve">the </w:t>
      </w:r>
      <w:r w:rsidR="00D0246D" w:rsidRPr="00D0246D">
        <w:rPr>
          <w:rFonts w:eastAsia="Times New Roman"/>
          <w:lang w:val="en-US" w:eastAsia="fi-FI"/>
        </w:rPr>
        <w:t>signal</w:t>
      </w:r>
      <w:r w:rsidR="00B555FB">
        <w:rPr>
          <w:rFonts w:eastAsia="Times New Roman"/>
          <w:lang w:val="en-US" w:eastAsia="fi-FI"/>
        </w:rPr>
        <w:t>,</w:t>
      </w:r>
      <w:r w:rsidR="005A57FB">
        <w:rPr>
          <w:rFonts w:eastAsia="Times New Roman"/>
          <w:lang w:val="en-US" w:eastAsia="fi-FI"/>
        </w:rPr>
        <w:t xml:space="preserve"> </w:t>
      </w:r>
      <w:r w:rsidR="00B555FB">
        <w:rPr>
          <w:rFonts w:eastAsia="Times New Roman"/>
          <w:lang w:val="en-US" w:eastAsia="fi-FI"/>
        </w:rPr>
        <w:t>intended for</w:t>
      </w:r>
      <w:r w:rsidR="005A57FB">
        <w:rPr>
          <w:rFonts w:eastAsia="Times New Roman"/>
          <w:lang w:val="en-US" w:eastAsia="fi-FI"/>
        </w:rPr>
        <w:t xml:space="preserve"> </w:t>
      </w:r>
      <w:r w:rsidR="00B555FB">
        <w:rPr>
          <w:rFonts w:eastAsia="Times New Roman"/>
          <w:lang w:val="en-US" w:eastAsia="fi-FI"/>
        </w:rPr>
        <w:t>transition,</w:t>
      </w:r>
      <w:r w:rsidR="00D0246D" w:rsidRPr="00D0246D">
        <w:rPr>
          <w:rFonts w:eastAsia="Times New Roman"/>
          <w:lang w:val="en-US" w:eastAsia="fi-FI"/>
        </w:rPr>
        <w:t xml:space="preserve"> does not depend on time. </w:t>
      </w:r>
      <w:r w:rsidR="005A57FB">
        <w:rPr>
          <w:rFonts w:eastAsia="Times New Roman"/>
          <w:lang w:val="en-US" w:eastAsia="fi-FI"/>
        </w:rPr>
        <w:t>From PDCCH DMRS point of view, this</w:t>
      </w:r>
      <w:r w:rsidR="00E95C85">
        <w:rPr>
          <w:rFonts w:eastAsia="Times New Roman"/>
          <w:lang w:val="en-US" w:eastAsia="fi-FI"/>
        </w:rPr>
        <w:t xml:space="preserve"> can be </w:t>
      </w:r>
      <w:r w:rsidR="005A57FB">
        <w:rPr>
          <w:rFonts w:eastAsia="Times New Roman"/>
          <w:lang w:val="en-US" w:eastAsia="fi-FI"/>
        </w:rPr>
        <w:t>achieved</w:t>
      </w:r>
      <w:r w:rsidR="00E95C85">
        <w:rPr>
          <w:rFonts w:eastAsia="Times New Roman"/>
          <w:lang w:val="en-US" w:eastAsia="fi-FI"/>
        </w:rPr>
        <w:t xml:space="preserve"> </w:t>
      </w:r>
      <w:r>
        <w:rPr>
          <w:rFonts w:eastAsia="Times New Roman"/>
          <w:lang w:val="en-US" w:eastAsia="fi-FI"/>
        </w:rPr>
        <w:t xml:space="preserve">by defining </w:t>
      </w:r>
      <w:r w:rsidRPr="006E0651">
        <w:rPr>
          <w:lang w:val="en-US" w:eastAsia="ja-JP"/>
        </w:rPr>
        <w:t>c</w:t>
      </w:r>
      <w:r w:rsidRPr="006E0651">
        <w:rPr>
          <w:i/>
          <w:vertAlign w:val="subscript"/>
          <w:lang w:val="en-US" w:eastAsia="ja-JP"/>
        </w:rPr>
        <w:t xml:space="preserve">init </w:t>
      </w:r>
      <w:r>
        <w:rPr>
          <w:rFonts w:eastAsia="Times New Roman"/>
          <w:lang w:val="en-US" w:eastAsia="fi-FI"/>
        </w:rPr>
        <w:t>in such that</w:t>
      </w:r>
    </w:p>
    <w:p w14:paraId="12A9313B" w14:textId="7BA4E269" w:rsidR="006E0651" w:rsidRPr="006E0651" w:rsidRDefault="006E0651" w:rsidP="00B555FB">
      <w:pPr>
        <w:pStyle w:val="ListParagraph"/>
        <w:numPr>
          <w:ilvl w:val="0"/>
          <w:numId w:val="40"/>
        </w:numPr>
        <w:jc w:val="both"/>
        <w:rPr>
          <w:rFonts w:eastAsia="Times New Roman"/>
          <w:sz w:val="20"/>
          <w:lang w:val="en-US" w:eastAsia="fi-FI"/>
        </w:rPr>
      </w:pPr>
      <w:r w:rsidRPr="006E0651">
        <w:rPr>
          <w:i/>
          <w:sz w:val="20"/>
          <w:lang w:val="en-US" w:eastAsia="ja-JP"/>
        </w:rPr>
        <w:t>l</w:t>
      </w:r>
      <w:r>
        <w:rPr>
          <w:sz w:val="20"/>
          <w:lang w:val="en-US" w:eastAsia="ja-JP"/>
        </w:rPr>
        <w:t xml:space="preserve"> (</w:t>
      </w:r>
      <w:r w:rsidRPr="006E0651">
        <w:rPr>
          <w:rFonts w:ascii="Times" w:hAnsi="Times" w:cs="Times"/>
          <w:sz w:val="20"/>
          <w:lang w:val="en-US"/>
        </w:rPr>
        <w:t>OFDM symbol number within the slot</w:t>
      </w:r>
      <w:r w:rsidRPr="006E0651">
        <w:rPr>
          <w:sz w:val="20"/>
          <w:lang w:val="en-US" w:eastAsia="ja-JP"/>
        </w:rPr>
        <w:t>)</w:t>
      </w:r>
      <w:r>
        <w:rPr>
          <w:sz w:val="20"/>
          <w:lang w:val="en-US" w:eastAsia="ja-JP"/>
        </w:rPr>
        <w:t xml:space="preserve"> is determined relative to the</w:t>
      </w:r>
      <w:r w:rsidR="008C7672">
        <w:rPr>
          <w:rFonts w:ascii="Times" w:hAnsi="Times" w:cs="Times"/>
          <w:sz w:val="20"/>
          <w:lang w:val="en-US"/>
        </w:rPr>
        <w:t xml:space="preserve"> PDCCH</w:t>
      </w:r>
      <w:r w:rsidR="00E95C85" w:rsidRPr="006E0651">
        <w:rPr>
          <w:rFonts w:ascii="Times" w:hAnsi="Times" w:cs="Times"/>
          <w:sz w:val="20"/>
          <w:lang w:val="en-US"/>
        </w:rPr>
        <w:t xml:space="preserve"> starting symbol</w:t>
      </w:r>
      <w:r w:rsidR="008C7672">
        <w:rPr>
          <w:rFonts w:ascii="Times" w:hAnsi="Times" w:cs="Times"/>
          <w:sz w:val="20"/>
          <w:lang w:val="en-US"/>
        </w:rPr>
        <w:t xml:space="preserve"> of the search space set associated with the CORESET,</w:t>
      </w:r>
      <w:r w:rsidRPr="006E0651">
        <w:rPr>
          <w:rFonts w:ascii="Times" w:hAnsi="Times" w:cs="Times"/>
          <w:sz w:val="20"/>
          <w:lang w:val="en-US"/>
        </w:rPr>
        <w:t xml:space="preserve"> </w:t>
      </w:r>
    </w:p>
    <w:p w14:paraId="10F6C448" w14:textId="4C30EED7" w:rsidR="00D0246D" w:rsidRPr="005A57FB" w:rsidRDefault="006E0651" w:rsidP="00B555FB">
      <w:pPr>
        <w:pStyle w:val="ListParagraph"/>
        <w:numPr>
          <w:ilvl w:val="0"/>
          <w:numId w:val="40"/>
        </w:numPr>
        <w:jc w:val="both"/>
        <w:rPr>
          <w:rFonts w:eastAsia="Times New Roman"/>
          <w:sz w:val="20"/>
          <w:lang w:val="en-US" w:eastAsia="fi-FI"/>
        </w:rPr>
      </w:pPr>
      <w:r>
        <w:rPr>
          <w:rFonts w:eastAsia="Times New Roman"/>
          <w:position w:val="-14"/>
          <w:sz w:val="20"/>
          <w:szCs w:val="20"/>
          <w:lang w:val="en-GB" w:eastAsia="en-US"/>
        </w:rPr>
        <w:object w:dxaOrig="345" w:dyaOrig="375" w14:anchorId="4A1043DE">
          <v:shape id="_x0000_i1026" type="#_x0000_t75" style="width:17.4pt;height:19.2pt" o:ole="">
            <v:imagedata r:id="rId14" o:title=""/>
          </v:shape>
          <o:OLEObject Type="Embed" ProgID="Equation.3" ShapeID="_x0000_i1026" DrawAspect="Content" ObjectID="_1587561669" r:id="rId16"/>
        </w:object>
      </w:r>
      <w:r>
        <w:rPr>
          <w:rFonts w:eastAsia="Times New Roman"/>
          <w:sz w:val="20"/>
          <w:szCs w:val="20"/>
          <w:lang w:val="en-GB" w:eastAsia="en-US"/>
        </w:rPr>
        <w:t>(</w:t>
      </w:r>
      <w:r w:rsidR="00AB37DC">
        <w:rPr>
          <w:rFonts w:eastAsia="Times New Roman"/>
          <w:sz w:val="20"/>
          <w:szCs w:val="20"/>
          <w:lang w:val="en-GB" w:eastAsia="en-US"/>
        </w:rPr>
        <w:t xml:space="preserve"> </w:t>
      </w:r>
      <w:r>
        <w:rPr>
          <w:rFonts w:eastAsia="Times New Roman"/>
          <w:sz w:val="20"/>
          <w:szCs w:val="20"/>
          <w:lang w:val="en-GB" w:eastAsia="en-US"/>
        </w:rPr>
        <w:t>slot number within a frame)</w:t>
      </w:r>
      <w:r w:rsidRPr="006E0651">
        <w:rPr>
          <w:rFonts w:ascii="Times" w:hAnsi="Times" w:cs="Times"/>
          <w:sz w:val="20"/>
          <w:lang w:val="en-US"/>
        </w:rPr>
        <w:t xml:space="preserve"> </w:t>
      </w:r>
      <w:r>
        <w:rPr>
          <w:sz w:val="20"/>
          <w:lang w:val="en-US" w:eastAsia="ja-JP"/>
        </w:rPr>
        <w:t xml:space="preserve">is determined relative to the </w:t>
      </w:r>
      <w:r w:rsidRPr="006E0651">
        <w:rPr>
          <w:rFonts w:ascii="Times" w:hAnsi="Times" w:cs="Times"/>
          <w:sz w:val="20"/>
          <w:lang w:val="en-US"/>
        </w:rPr>
        <w:t>starting symbol</w:t>
      </w:r>
      <w:r>
        <w:rPr>
          <w:rFonts w:ascii="Times" w:hAnsi="Times" w:cs="Times"/>
          <w:sz w:val="20"/>
          <w:lang w:val="en-US"/>
        </w:rPr>
        <w:t xml:space="preserve"> of the channel occupancy time (COT)</w:t>
      </w:r>
      <w:r w:rsidR="008C7672">
        <w:rPr>
          <w:rFonts w:ascii="Times" w:hAnsi="Times" w:cs="Times"/>
          <w:sz w:val="20"/>
          <w:lang w:val="en-US"/>
        </w:rPr>
        <w:t>.</w:t>
      </w:r>
    </w:p>
    <w:p w14:paraId="0FEF6AE0" w14:textId="55D79DA0" w:rsidR="005A57FB" w:rsidRPr="005A57FB" w:rsidRDefault="00CF272A" w:rsidP="00B555FB">
      <w:pPr>
        <w:jc w:val="both"/>
        <w:rPr>
          <w:rFonts w:eastAsia="Times New Roman"/>
          <w:lang w:val="en-US" w:eastAsia="fi-FI"/>
        </w:rPr>
      </w:pPr>
      <w:r>
        <w:rPr>
          <w:rFonts w:eastAsia="Times New Roman"/>
          <w:lang w:val="en-US" w:eastAsia="fi-FI"/>
        </w:rPr>
        <w:t>T</w:t>
      </w:r>
      <w:r w:rsidR="005A57FB">
        <w:rPr>
          <w:rFonts w:eastAsia="Times New Roman"/>
          <w:lang w:val="en-US" w:eastAsia="fi-FI"/>
        </w:rPr>
        <w:t xml:space="preserve">o maximize the commonality between NR Rel-15 and NR-U, it makes sense to </w:t>
      </w:r>
      <w:r>
        <w:rPr>
          <w:rFonts w:eastAsia="Times New Roman"/>
          <w:lang w:val="en-US" w:eastAsia="fi-FI"/>
        </w:rPr>
        <w:t>determine</w:t>
      </w:r>
      <w:r w:rsidR="005A57FB">
        <w:rPr>
          <w:rFonts w:eastAsia="Times New Roman"/>
          <w:lang w:val="en-US" w:eastAsia="fi-FI"/>
        </w:rPr>
        <w:t xml:space="preserve"> parameter </w:t>
      </w:r>
      <w:r w:rsidR="005A57FB" w:rsidRPr="006E0651">
        <w:rPr>
          <w:i/>
          <w:lang w:val="en-US" w:eastAsia="ja-JP"/>
        </w:rPr>
        <w:t>l</w:t>
      </w:r>
      <w:r w:rsidR="005A57FB">
        <w:rPr>
          <w:lang w:val="en-US" w:eastAsia="ja-JP"/>
        </w:rPr>
        <w:t xml:space="preserve"> in</w:t>
      </w:r>
      <w:r>
        <w:rPr>
          <w:lang w:val="en-US" w:eastAsia="ja-JP"/>
        </w:rPr>
        <w:t xml:space="preserve"> the PDCCH DMRS initialization</w:t>
      </w:r>
      <w:r w:rsidR="005A57FB">
        <w:rPr>
          <w:lang w:val="en-US" w:eastAsia="ja-JP"/>
        </w:rPr>
        <w:t xml:space="preserve"> relative to the </w:t>
      </w:r>
      <w:r w:rsidR="008C7672">
        <w:rPr>
          <w:lang w:val="en-US" w:eastAsia="ja-JP"/>
        </w:rPr>
        <w:t xml:space="preserve">PDCCH </w:t>
      </w:r>
      <w:r w:rsidR="005A57FB">
        <w:rPr>
          <w:lang w:val="en-US" w:eastAsia="ja-JP"/>
        </w:rPr>
        <w:t xml:space="preserve">starting </w:t>
      </w:r>
      <w:r>
        <w:rPr>
          <w:lang w:val="en-US" w:eastAsia="ja-JP"/>
        </w:rPr>
        <w:t xml:space="preserve">symbol </w:t>
      </w:r>
      <w:r>
        <w:rPr>
          <w:rFonts w:ascii="Times" w:hAnsi="Times" w:cs="Times"/>
          <w:lang w:val="en-US"/>
        </w:rPr>
        <w:t>of the search space set associated with the CORESET</w:t>
      </w:r>
      <w:r w:rsidR="00D63C9B">
        <w:rPr>
          <w:lang w:val="en-US" w:eastAsia="ja-JP"/>
        </w:rPr>
        <w:t xml:space="preserve"> instead of </w:t>
      </w:r>
      <w:r w:rsidR="00D63C9B">
        <w:rPr>
          <w:rFonts w:eastAsia="Times New Roman"/>
          <w:lang w:val="en-US" w:eastAsia="fi-FI"/>
        </w:rPr>
        <w:t>OFDM symbol number within the slot</w:t>
      </w:r>
      <w:r w:rsidR="005A57FB">
        <w:rPr>
          <w:lang w:val="en-US" w:eastAsia="ja-JP"/>
        </w:rPr>
        <w:t>.</w:t>
      </w:r>
      <w:r w:rsidR="0028644E">
        <w:rPr>
          <w:lang w:val="en-US" w:eastAsia="ja-JP"/>
        </w:rPr>
        <w:t xml:space="preserve"> </w:t>
      </w:r>
    </w:p>
    <w:p w14:paraId="67158FA2" w14:textId="305DB15A" w:rsidR="006818BE" w:rsidRDefault="00D0246D" w:rsidP="006818BE">
      <w:pPr>
        <w:spacing w:after="0"/>
        <w:jc w:val="both"/>
      </w:pPr>
      <w:r w:rsidRPr="00D0246D">
        <w:rPr>
          <w:rFonts w:eastAsia="Times New Roman"/>
          <w:b/>
          <w:i/>
          <w:lang w:val="en-US" w:eastAsia="fi-FI"/>
        </w:rPr>
        <w:t xml:space="preserve">Proposal </w:t>
      </w:r>
      <w:r>
        <w:rPr>
          <w:rFonts w:eastAsia="Times New Roman"/>
          <w:b/>
          <w:i/>
          <w:lang w:val="en-US" w:eastAsia="fi-FI"/>
        </w:rPr>
        <w:t>1</w:t>
      </w:r>
      <w:r w:rsidRPr="00D0246D">
        <w:rPr>
          <w:rFonts w:eastAsia="Times New Roman"/>
          <w:b/>
          <w:i/>
          <w:lang w:val="en-US" w:eastAsia="fi-FI"/>
        </w:rPr>
        <w:t>:</w:t>
      </w:r>
      <w:r w:rsidRPr="00D0246D">
        <w:rPr>
          <w:rFonts w:eastAsia="Times New Roman"/>
          <w:i/>
          <w:lang w:val="en-US" w:eastAsia="fi-FI"/>
        </w:rPr>
        <w:t xml:space="preserve"> </w:t>
      </w:r>
      <w:r w:rsidR="005A57FB">
        <w:rPr>
          <w:rFonts w:eastAsia="Times New Roman"/>
          <w:i/>
          <w:lang w:val="en-US" w:eastAsia="fi-FI"/>
        </w:rPr>
        <w:t>D</w:t>
      </w:r>
      <w:r w:rsidR="005A57FB" w:rsidRPr="005A57FB">
        <w:rPr>
          <w:rFonts w:eastAsia="Times New Roman"/>
          <w:i/>
          <w:lang w:val="en-US" w:eastAsia="fi-FI"/>
        </w:rPr>
        <w:t>etermine</w:t>
      </w:r>
      <w:r w:rsidR="0028644E">
        <w:rPr>
          <w:rFonts w:eastAsia="Times New Roman"/>
          <w:i/>
          <w:lang w:val="en-US" w:eastAsia="fi-FI"/>
        </w:rPr>
        <w:t xml:space="preserve"> parameter</w:t>
      </w:r>
      <w:r w:rsidR="005A57FB" w:rsidRPr="005A57FB">
        <w:rPr>
          <w:rFonts w:eastAsia="Times New Roman"/>
          <w:i/>
          <w:lang w:val="en-US" w:eastAsia="fi-FI"/>
        </w:rPr>
        <w:t xml:space="preserve"> l in the PDCCH DMRS initialization relative to the </w:t>
      </w:r>
      <w:r w:rsidR="008C7672">
        <w:rPr>
          <w:rFonts w:eastAsia="Times New Roman"/>
          <w:i/>
          <w:lang w:val="en-US" w:eastAsia="fi-FI"/>
        </w:rPr>
        <w:t>PDCCH</w:t>
      </w:r>
      <w:r w:rsidR="008C7672" w:rsidRPr="005A57FB">
        <w:rPr>
          <w:rFonts w:eastAsia="Times New Roman"/>
          <w:i/>
          <w:lang w:val="en-US" w:eastAsia="fi-FI"/>
        </w:rPr>
        <w:t xml:space="preserve"> </w:t>
      </w:r>
      <w:r w:rsidR="005A57FB" w:rsidRPr="005A57FB">
        <w:rPr>
          <w:rFonts w:eastAsia="Times New Roman"/>
          <w:i/>
          <w:lang w:val="en-US" w:eastAsia="fi-FI"/>
        </w:rPr>
        <w:t>starting symbol</w:t>
      </w:r>
      <w:r w:rsidR="000D4360">
        <w:rPr>
          <w:rFonts w:eastAsia="Times New Roman"/>
          <w:i/>
          <w:lang w:val="en-US" w:eastAsia="fi-FI"/>
        </w:rPr>
        <w:t>.</w:t>
      </w:r>
      <w:r w:rsidR="006818BE" w:rsidRPr="006818BE">
        <w:t xml:space="preserve"> </w:t>
      </w:r>
    </w:p>
    <w:p w14:paraId="3AE078B8" w14:textId="77777777" w:rsidR="000E2156" w:rsidRDefault="000E2156" w:rsidP="00C74670">
      <w:pPr>
        <w:jc w:val="both"/>
      </w:pPr>
    </w:p>
    <w:p w14:paraId="5EDF5D6F" w14:textId="7FF6D1ED" w:rsidR="006818BE" w:rsidRDefault="00B555FB" w:rsidP="00C74670">
      <w:pPr>
        <w:jc w:val="both"/>
      </w:pPr>
      <w:r>
        <w:t xml:space="preserve">Yet another issue with the DMRS sequence initialization is that </w:t>
      </w:r>
      <w:r>
        <w:rPr>
          <w:i/>
        </w:rPr>
        <w:t>PDCCH</w:t>
      </w:r>
      <w:r w:rsidRPr="0083489F">
        <w:rPr>
          <w:i/>
        </w:rPr>
        <w:t>-</w:t>
      </w:r>
      <w:r>
        <w:rPr>
          <w:i/>
        </w:rPr>
        <w:t>DMRS-</w:t>
      </w:r>
      <w:r w:rsidRPr="0083489F">
        <w:rPr>
          <w:i/>
        </w:rPr>
        <w:t>Scrambling-ID</w:t>
      </w:r>
      <w:r>
        <w:t xml:space="preserve"> configured in </w:t>
      </w:r>
      <w:r w:rsidR="00C74670">
        <w:t xml:space="preserve">a </w:t>
      </w:r>
      <w:r w:rsidR="00993003">
        <w:t>CORESET is applicable to both USS and CSS. As a consequence, gNB</w:t>
      </w:r>
      <w:r w:rsidR="00C74670">
        <w:t xml:space="preserve"> may not operate pseudo-orthogonal multi-user multiplexing of PDCCH</w:t>
      </w:r>
      <w:r w:rsidR="000E2156">
        <w:t>s</w:t>
      </w:r>
      <w:r w:rsidR="00C74670">
        <w:t xml:space="preserve"> on the same CCE(s)</w:t>
      </w:r>
      <w:r w:rsidR="000E2156">
        <w:t xml:space="preserve"> of a CORESET where both CSS and USS are configured</w:t>
      </w:r>
      <w:r w:rsidR="00C74670">
        <w:t xml:space="preserve">. </w:t>
      </w:r>
    </w:p>
    <w:p w14:paraId="0BDA3990" w14:textId="1569A39D" w:rsidR="00993003" w:rsidRDefault="00993003" w:rsidP="006818BE">
      <w:r w:rsidRPr="00CF272A">
        <w:rPr>
          <w:b/>
          <w:i/>
        </w:rPr>
        <w:t>Observation</w:t>
      </w:r>
      <w:r w:rsidR="00FB3307" w:rsidRPr="00CF272A">
        <w:rPr>
          <w:b/>
          <w:i/>
        </w:rPr>
        <w:t xml:space="preserve"> </w:t>
      </w:r>
      <w:r w:rsidR="00C74670" w:rsidRPr="00CF272A">
        <w:rPr>
          <w:b/>
          <w:i/>
        </w:rPr>
        <w:t>1</w:t>
      </w:r>
      <w:r w:rsidRPr="00CF272A">
        <w:rPr>
          <w:b/>
          <w:i/>
        </w:rPr>
        <w:t>:</w:t>
      </w:r>
      <w:r>
        <w:t xml:space="preserve"> </w:t>
      </w:r>
      <w:r w:rsidRPr="00CF272A">
        <w:rPr>
          <w:i/>
        </w:rPr>
        <w:t>Pseudo-orthogonal multi-user multipl</w:t>
      </w:r>
      <w:r w:rsidR="00C74670" w:rsidRPr="00CF272A">
        <w:rPr>
          <w:i/>
        </w:rPr>
        <w:t xml:space="preserve">exing of PDCCH on the same CCE(s) is currently not possible, </w:t>
      </w:r>
      <w:r w:rsidR="000E2156" w:rsidRPr="00CF272A">
        <w:rPr>
          <w:i/>
        </w:rPr>
        <w:t>if gNB wants to operate both CSS and U</w:t>
      </w:r>
      <w:r w:rsidR="00C74670" w:rsidRPr="00CF272A">
        <w:rPr>
          <w:i/>
        </w:rPr>
        <w:t>SS</w:t>
      </w:r>
      <w:r w:rsidR="000E2156" w:rsidRPr="00CF272A">
        <w:rPr>
          <w:i/>
        </w:rPr>
        <w:t xml:space="preserve"> in the same CORESET.</w:t>
      </w:r>
    </w:p>
    <w:p w14:paraId="38D21596" w14:textId="0D547053" w:rsidR="000E2156" w:rsidRDefault="00DE21C8" w:rsidP="006818BE">
      <w:r>
        <w:t>Therefore, we have the following text proposal in</w:t>
      </w:r>
      <w:r w:rsidR="00F808D8">
        <w:t xml:space="preserve"> </w:t>
      </w:r>
      <w:r>
        <w:t>TS38.211</w:t>
      </w:r>
      <w:r w:rsidR="00F808D8">
        <w:t xml:space="preserve"> to address the above issue</w:t>
      </w:r>
      <w:r>
        <w:t>:</w:t>
      </w:r>
    </w:p>
    <w:tbl>
      <w:tblPr>
        <w:tblStyle w:val="TableGrid"/>
        <w:tblW w:w="0" w:type="auto"/>
        <w:tblLook w:val="04A0" w:firstRow="1" w:lastRow="0" w:firstColumn="1" w:lastColumn="0" w:noHBand="0" w:noVBand="1"/>
      </w:tblPr>
      <w:tblGrid>
        <w:gridCol w:w="9629"/>
      </w:tblGrid>
      <w:tr w:rsidR="009A6CF7" w14:paraId="100EDF8E" w14:textId="77777777" w:rsidTr="009A6CF7">
        <w:tc>
          <w:tcPr>
            <w:tcW w:w="9629" w:type="dxa"/>
          </w:tcPr>
          <w:p w14:paraId="169788EF" w14:textId="77777777" w:rsidR="009A6CF7" w:rsidRDefault="009A6CF7" w:rsidP="009A6CF7">
            <w:pPr>
              <w:pStyle w:val="Heading5"/>
              <w:numPr>
                <w:ilvl w:val="0"/>
                <w:numId w:val="0"/>
              </w:numPr>
              <w:ind w:left="1008" w:hanging="1008"/>
            </w:pPr>
            <w:bookmarkStart w:id="0" w:name="_Toc510519405"/>
            <w:r>
              <w:t>7.4.1.3.1</w:t>
            </w:r>
            <w:r>
              <w:tab/>
              <w:t>Sequence generation</w:t>
            </w:r>
            <w:bookmarkEnd w:id="0"/>
          </w:p>
          <w:p w14:paraId="4E6CF60A" w14:textId="77777777" w:rsidR="009A6CF7" w:rsidRDefault="009A6CF7" w:rsidP="009A6CF7">
            <w:r>
              <w:t xml:space="preserve">The UE shall assume the reference-signal sequence </w:t>
            </w:r>
            <w:r>
              <w:rPr>
                <w:noProof/>
                <w:position w:val="-10"/>
              </w:rPr>
              <w:drawing>
                <wp:inline distT="0" distB="0" distL="0" distR="0" wp14:anchorId="02B39B07" wp14:editId="3F4F0714">
                  <wp:extent cx="3048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 xml:space="preserve"> for OFDM symbol </w:t>
            </w:r>
            <w:r>
              <w:rPr>
                <w:noProof/>
                <w:position w:val="-6"/>
              </w:rPr>
              <w:drawing>
                <wp:inline distT="0" distB="0" distL="0" distR="0" wp14:anchorId="55CF5233" wp14:editId="0D914765">
                  <wp:extent cx="83820" cy="160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820" cy="160020"/>
                          </a:xfrm>
                          <a:prstGeom prst="rect">
                            <a:avLst/>
                          </a:prstGeom>
                          <a:noFill/>
                          <a:ln>
                            <a:noFill/>
                          </a:ln>
                        </pic:spPr>
                      </pic:pic>
                    </a:graphicData>
                  </a:graphic>
                </wp:inline>
              </w:drawing>
            </w:r>
            <w:r>
              <w:t xml:space="preserve"> is defined by</w:t>
            </w:r>
          </w:p>
          <w:p w14:paraId="4527C6D5" w14:textId="77777777" w:rsidR="009A6CF7" w:rsidRDefault="009A6CF7" w:rsidP="009A6CF7">
            <w:pPr>
              <w:pStyle w:val="EQ"/>
              <w:jc w:val="center"/>
            </w:pPr>
            <w:r>
              <w:rPr>
                <w:position w:val="-26"/>
              </w:rPr>
              <w:drawing>
                <wp:inline distT="0" distB="0" distL="0" distR="0" wp14:anchorId="196CB181" wp14:editId="79E26419">
                  <wp:extent cx="251460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0" cy="381000"/>
                          </a:xfrm>
                          <a:prstGeom prst="rect">
                            <a:avLst/>
                          </a:prstGeom>
                          <a:noFill/>
                          <a:ln>
                            <a:noFill/>
                          </a:ln>
                        </pic:spPr>
                      </pic:pic>
                    </a:graphicData>
                  </a:graphic>
                </wp:inline>
              </w:drawing>
            </w:r>
            <w:r>
              <w:t>.</w:t>
            </w:r>
          </w:p>
          <w:p w14:paraId="2203B41F" w14:textId="77777777" w:rsidR="009A6CF7" w:rsidRDefault="009A6CF7" w:rsidP="009A6CF7">
            <w:r>
              <w:t xml:space="preserve">where the pseudo-random sequence </w:t>
            </w:r>
            <w:r>
              <w:rPr>
                <w:noProof/>
                <w:position w:val="-10"/>
              </w:rPr>
              <w:drawing>
                <wp:inline distT="0" distB="0" distL="0" distR="0" wp14:anchorId="7D2702CC" wp14:editId="5CA345B7">
                  <wp:extent cx="2286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t xml:space="preserve"> is defined in clause 5.2.1. </w:t>
            </w:r>
            <w:bookmarkStart w:id="1" w:name="_Hlk500028516"/>
            <w:r>
              <w:t>The pseudo-random sequence generator shall be initialized with</w:t>
            </w:r>
          </w:p>
          <w:p w14:paraId="0321BB78" w14:textId="77777777" w:rsidR="009A6CF7" w:rsidRDefault="009A6CF7" w:rsidP="009A6CF7">
            <w:pPr>
              <w:pStyle w:val="EQ"/>
            </w:pPr>
            <w:r>
              <w:tab/>
            </w:r>
            <w:r>
              <w:rPr>
                <w:position w:val="-16"/>
              </w:rPr>
              <w:drawing>
                <wp:inline distT="0" distB="0" distL="0" distR="0" wp14:anchorId="7EB67630" wp14:editId="38E1012E">
                  <wp:extent cx="2583180" cy="2667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83180" cy="266700"/>
                          </a:xfrm>
                          <a:prstGeom prst="rect">
                            <a:avLst/>
                          </a:prstGeom>
                          <a:noFill/>
                          <a:ln>
                            <a:noFill/>
                          </a:ln>
                        </pic:spPr>
                      </pic:pic>
                    </a:graphicData>
                  </a:graphic>
                </wp:inline>
              </w:drawing>
            </w:r>
          </w:p>
          <w:p w14:paraId="40219288" w14:textId="2E603762" w:rsidR="009A6CF7" w:rsidRDefault="009A6CF7" w:rsidP="009A6CF7">
            <w:r>
              <w:t xml:space="preserve">where </w:t>
            </w:r>
            <w:r>
              <w:rPr>
                <w:noProof/>
                <w:position w:val="-6"/>
              </w:rPr>
              <w:drawing>
                <wp:inline distT="0" distB="0" distL="0" distR="0" wp14:anchorId="2AF7115C" wp14:editId="6361D37B">
                  <wp:extent cx="83820" cy="160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3820" cy="160020"/>
                          </a:xfrm>
                          <a:prstGeom prst="rect">
                            <a:avLst/>
                          </a:prstGeom>
                          <a:noFill/>
                          <a:ln>
                            <a:noFill/>
                          </a:ln>
                        </pic:spPr>
                      </pic:pic>
                    </a:graphicData>
                  </a:graphic>
                </wp:inline>
              </w:drawing>
            </w:r>
            <w:r>
              <w:t xml:space="preserve"> is the OFDM symbol number</w:t>
            </w:r>
            <w:r w:rsidR="00F808D8">
              <w:t xml:space="preserve"> in the </w:t>
            </w:r>
            <w:r w:rsidR="00F808D8" w:rsidRPr="00F808D8">
              <w:rPr>
                <w:color w:val="FF0000"/>
                <w:u w:val="single"/>
              </w:rPr>
              <w:t>control resource set</w:t>
            </w:r>
            <w:r>
              <w:t xml:space="preserve"> </w:t>
            </w:r>
            <w:r w:rsidRPr="00F808D8">
              <w:rPr>
                <w:strike/>
                <w:color w:val="FF0000"/>
              </w:rPr>
              <w:t>within the slot</w:t>
            </w:r>
            <w:r>
              <w:t xml:space="preserve">, </w:t>
            </w:r>
            <w:r>
              <w:rPr>
                <w:noProof/>
                <w:position w:val="-14"/>
              </w:rPr>
              <w:drawing>
                <wp:inline distT="0" distB="0" distL="0" distR="0" wp14:anchorId="3AFB0674" wp14:editId="4B3351C7">
                  <wp:extent cx="22098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980" cy="236220"/>
                          </a:xfrm>
                          <a:prstGeom prst="rect">
                            <a:avLst/>
                          </a:prstGeom>
                          <a:noFill/>
                          <a:ln>
                            <a:noFill/>
                          </a:ln>
                        </pic:spPr>
                      </pic:pic>
                    </a:graphicData>
                  </a:graphic>
                </wp:inline>
              </w:drawing>
            </w:r>
            <w:r>
              <w:t xml:space="preserve"> is the slot number within a frame, and</w:t>
            </w:r>
          </w:p>
          <w:p w14:paraId="62FF3E21" w14:textId="77777777" w:rsidR="009A6CF7" w:rsidRDefault="009A6CF7" w:rsidP="009A6CF7">
            <w:pPr>
              <w:pStyle w:val="B1"/>
            </w:pPr>
            <w:r>
              <w:t>-</w:t>
            </w:r>
            <w:r>
              <w:tab/>
            </w:r>
            <w:r>
              <w:rPr>
                <w:noProof/>
                <w:position w:val="-12"/>
              </w:rPr>
              <w:drawing>
                <wp:inline distT="0" distB="0" distL="0" distR="0" wp14:anchorId="0AD51DA2" wp14:editId="2CDE7744">
                  <wp:extent cx="1104900"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04900" cy="220980"/>
                          </a:xfrm>
                          <a:prstGeom prst="rect">
                            <a:avLst/>
                          </a:prstGeom>
                          <a:noFill/>
                          <a:ln>
                            <a:noFill/>
                          </a:ln>
                        </pic:spPr>
                      </pic:pic>
                    </a:graphicData>
                  </a:graphic>
                </wp:inline>
              </w:drawing>
            </w:r>
            <w:r>
              <w:t xml:space="preserve"> is given by the higher-layer parameter </w:t>
            </w:r>
            <w:r>
              <w:rPr>
                <w:i/>
              </w:rPr>
              <w:t>pdcch-DMRS-ScramblingID</w:t>
            </w:r>
            <w:r>
              <w:t xml:space="preserve"> if provided </w:t>
            </w:r>
            <w:r w:rsidRPr="002E30CA">
              <w:rPr>
                <w:color w:val="FF0000"/>
                <w:u w:val="single"/>
              </w:rPr>
              <w:t>and if PDCCH candidate is in user-specific search-space</w:t>
            </w:r>
            <w:r>
              <w:t>.</w:t>
            </w:r>
          </w:p>
          <w:p w14:paraId="74FF56D8" w14:textId="77777777" w:rsidR="009A6CF7" w:rsidRDefault="009A6CF7" w:rsidP="009A6CF7">
            <w:pPr>
              <w:pStyle w:val="B1"/>
            </w:pPr>
            <w:r>
              <w:t>-</w:t>
            </w:r>
            <w:r>
              <w:tab/>
            </w:r>
            <w:r>
              <w:rPr>
                <w:noProof/>
                <w:position w:val="-10"/>
              </w:rPr>
              <w:drawing>
                <wp:inline distT="0" distB="0" distL="0" distR="0" wp14:anchorId="6D923402" wp14:editId="1CE2156F">
                  <wp:extent cx="57912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9120" cy="198120"/>
                          </a:xfrm>
                          <a:prstGeom prst="rect">
                            <a:avLst/>
                          </a:prstGeom>
                          <a:noFill/>
                          <a:ln>
                            <a:noFill/>
                          </a:ln>
                        </pic:spPr>
                      </pic:pic>
                    </a:graphicData>
                  </a:graphic>
                </wp:inline>
              </w:drawing>
            </w:r>
            <w:r>
              <w:t xml:space="preserve"> otherwise.</w:t>
            </w:r>
            <w:bookmarkEnd w:id="1"/>
          </w:p>
          <w:p w14:paraId="3ADB7471" w14:textId="77777777" w:rsidR="009A6CF7" w:rsidRDefault="009A6CF7" w:rsidP="006818BE"/>
        </w:tc>
      </w:tr>
    </w:tbl>
    <w:p w14:paraId="064843AB" w14:textId="77777777" w:rsidR="00DE21C8" w:rsidRDefault="00DE21C8" w:rsidP="006818BE"/>
    <w:p w14:paraId="080C2625" w14:textId="23D71220" w:rsidR="006818BE" w:rsidRDefault="006818BE" w:rsidP="006818BE">
      <w:pPr>
        <w:pStyle w:val="Heading1"/>
      </w:pPr>
      <w:r>
        <w:t xml:space="preserve">CORESET configurations on a serving cell </w:t>
      </w:r>
    </w:p>
    <w:p w14:paraId="55201ADA" w14:textId="77777777" w:rsidR="006818BE" w:rsidRDefault="006818BE" w:rsidP="006818BE">
      <w:r>
        <w:t>TS38.213 states: “</w:t>
      </w:r>
      <w:r>
        <w:rPr>
          <w:i/>
        </w:rPr>
        <w:t xml:space="preserve">For each control resource set in a DL BWP of a serving cell, a respective higher layer parameter CORESET-freq-dom provides a bitmap. The bits of the bitmap have a one-to-one mapping with non-overlapping groups of 6 PRBs, in ascending order of the PRB index in the DL BWP bandwidth of </w:t>
      </w:r>
      <w:r>
        <w:rPr>
          <w:i/>
          <w:position w:val="-10"/>
        </w:rPr>
        <w:object w:dxaOrig="516" w:dyaOrig="336" w14:anchorId="6061D0E0">
          <v:shape id="_x0000_i1027" type="#_x0000_t75" style="width:26.4pt;height:16.8pt" o:ole="">
            <v:imagedata r:id="rId26" o:title=""/>
          </v:shape>
          <o:OLEObject Type="Embed" ProgID="Equation.3" ShapeID="_x0000_i1027" DrawAspect="Content" ObjectID="_1587561670" r:id="rId27"/>
        </w:object>
      </w:r>
      <w:r>
        <w:rPr>
          <w:i/>
        </w:rPr>
        <w:t xml:space="preserve"> PRBs with starting position </w:t>
      </w:r>
      <w:r>
        <w:rPr>
          <w:i/>
          <w:position w:val="-10"/>
        </w:rPr>
        <w:object w:dxaOrig="492" w:dyaOrig="336" w14:anchorId="23970661">
          <v:shape id="_x0000_i1028" type="#_x0000_t75" style="width:24.6pt;height:16.8pt" o:ole="">
            <v:imagedata r:id="rId28" o:title=""/>
          </v:shape>
          <o:OLEObject Type="Embed" ProgID="Equation.3" ShapeID="_x0000_i1028" DrawAspect="Content" ObjectID="_1587561671" r:id="rId29"/>
        </w:object>
      </w:r>
      <w:r>
        <w:rPr>
          <w:i/>
        </w:rPr>
        <w:t xml:space="preserve"> where the first PRB of the first group of 6 PRBs has index </w:t>
      </w:r>
      <w:r>
        <w:rPr>
          <w:i/>
          <w:position w:val="-10"/>
        </w:rPr>
        <w:object w:dxaOrig="1032" w:dyaOrig="336" w14:anchorId="73DC8B61">
          <v:shape id="_x0000_i1029" type="#_x0000_t75" style="width:51.6pt;height:16.8pt" o:ole="">
            <v:imagedata r:id="rId30" o:title=""/>
          </v:shape>
          <o:OLEObject Type="Embed" ProgID="Equation.3" ShapeID="_x0000_i1029" DrawAspect="Content" ObjectID="_1587561672" r:id="rId31"/>
        </w:object>
      </w:r>
      <w:r>
        <w:rPr>
          <w:i/>
        </w:rPr>
        <w:t>. A group of 6 PRBs is allocated to a control resource set if a corresponding bit value in the bitmap is 1; else, if a corresponding bit value in the bitmap is 0, the group of 6 PRBs is not allocated to the control resource set.</w:t>
      </w:r>
      <w:r>
        <w:t>”</w:t>
      </w:r>
    </w:p>
    <w:p w14:paraId="4BB30CFD" w14:textId="77777777" w:rsidR="006818BE" w:rsidRDefault="006818BE" w:rsidP="006818BE">
      <w:r>
        <w:t>RAN2 configures frequency domain resources using bitmap of 45 bits</w:t>
      </w:r>
    </w:p>
    <w:p w14:paraId="2F06200D" w14:textId="77777777" w:rsidR="006818BE" w:rsidRDefault="006818BE" w:rsidP="006818BE">
      <w:pPr>
        <w:pStyle w:val="PL"/>
      </w:pPr>
      <w:bookmarkStart w:id="2" w:name="_Hlk504372411"/>
      <w:r>
        <w:t>frequencyDomainResources</w:t>
      </w:r>
      <w:bookmarkEnd w:id="2"/>
      <w:r>
        <w:tab/>
      </w:r>
      <w:r>
        <w:tab/>
      </w:r>
      <w:r>
        <w:tab/>
      </w:r>
      <w:r>
        <w:tab/>
      </w:r>
      <w:r>
        <w:rPr>
          <w:color w:val="993366"/>
        </w:rPr>
        <w:t>BIT</w:t>
      </w:r>
      <w:r>
        <w:t xml:space="preserve"> </w:t>
      </w:r>
      <w:r>
        <w:rPr>
          <w:color w:val="993366"/>
        </w:rPr>
        <w:t>STRING</w:t>
      </w:r>
      <w:r>
        <w:t xml:space="preserve"> (</w:t>
      </w:r>
      <w:r>
        <w:rPr>
          <w:color w:val="993366"/>
        </w:rPr>
        <w:t>SIZE</w:t>
      </w:r>
      <w:r>
        <w:t xml:space="preserve"> (45)),</w:t>
      </w:r>
    </w:p>
    <w:p w14:paraId="190859E8" w14:textId="77777777" w:rsidR="006818BE" w:rsidRDefault="006818BE" w:rsidP="006818BE"/>
    <w:p w14:paraId="706DE22F" w14:textId="72896F5E" w:rsidR="006818BE" w:rsidRDefault="006818BE" w:rsidP="003B049E">
      <w:pPr>
        <w:jc w:val="both"/>
      </w:pPr>
      <w:r>
        <w:t xml:space="preserve">While the RAN1 specification talks about the one-to-one mapping of bitmap bits to groups of 6PRBs in BWPs. It is </w:t>
      </w:r>
      <w:r w:rsidR="000E2156">
        <w:t>not very clear</w:t>
      </w:r>
      <w:r>
        <w:t xml:space="preserve"> which bit of 45-bit bitmap corresponds to which </w:t>
      </w:r>
      <w:r w:rsidR="000E2156">
        <w:t xml:space="preserve">6PRB </w:t>
      </w:r>
      <w:r>
        <w:t>group. For example, in Figure 1, it is not clear whether CORESET would be configured with:</w:t>
      </w:r>
    </w:p>
    <w:p w14:paraId="428B1B29" w14:textId="77777777" w:rsidR="006818BE" w:rsidRDefault="006818BE" w:rsidP="006818BE">
      <w:pPr>
        <w:pStyle w:val="ListParagraph"/>
        <w:numPr>
          <w:ilvl w:val="0"/>
          <w:numId w:val="42"/>
        </w:numPr>
        <w:rPr>
          <w:sz w:val="20"/>
          <w:szCs w:val="20"/>
        </w:rPr>
      </w:pPr>
      <w:r>
        <w:rPr>
          <w:sz w:val="20"/>
          <w:szCs w:val="20"/>
        </w:rPr>
        <w:lastRenderedPageBreak/>
        <w:t>Alt1: 11111111000000…</w:t>
      </w:r>
    </w:p>
    <w:p w14:paraId="6D9DD7EC" w14:textId="77777777" w:rsidR="006818BE" w:rsidRDefault="006818BE" w:rsidP="006818BE">
      <w:pPr>
        <w:pStyle w:val="ListParagraph"/>
        <w:numPr>
          <w:ilvl w:val="0"/>
          <w:numId w:val="42"/>
        </w:numPr>
        <w:rPr>
          <w:sz w:val="20"/>
          <w:szCs w:val="20"/>
        </w:rPr>
      </w:pPr>
      <w:r>
        <w:rPr>
          <w:sz w:val="20"/>
          <w:szCs w:val="20"/>
        </w:rPr>
        <w:t>Alt2: 00000111111110…</w:t>
      </w:r>
    </w:p>
    <w:p w14:paraId="5B716561" w14:textId="77777777" w:rsidR="006818BE" w:rsidRDefault="006818BE" w:rsidP="006818BE">
      <w:pPr>
        <w:keepNext/>
        <w:jc w:val="center"/>
      </w:pPr>
      <w:r>
        <w:object w:dxaOrig="7044" w:dyaOrig="2364" w14:anchorId="6EDC07C4">
          <v:shape id="_x0000_i1030" type="#_x0000_t75" style="width:351pt;height:117.6pt" o:ole="">
            <v:imagedata r:id="rId32" o:title=""/>
          </v:shape>
          <o:OLEObject Type="Embed" ProgID="Visio.Drawing.15" ShapeID="_x0000_i1030" DrawAspect="Content" ObjectID="_1587561673" r:id="rId33"/>
        </w:object>
      </w:r>
    </w:p>
    <w:p w14:paraId="284B22C4" w14:textId="77777777" w:rsidR="006818BE" w:rsidRDefault="006818BE" w:rsidP="006818B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CORESET configuration</w:t>
      </w:r>
    </w:p>
    <w:p w14:paraId="65817B96" w14:textId="4C7B9DF9" w:rsidR="006818BE" w:rsidRDefault="005F53FD" w:rsidP="006818BE">
      <w:r w:rsidRPr="00F808D8">
        <w:rPr>
          <w:b/>
          <w:i/>
        </w:rPr>
        <w:t>Observation 2</w:t>
      </w:r>
      <w:r w:rsidRPr="00F808D8">
        <w:rPr>
          <w:i/>
        </w:rPr>
        <w:t>: Our understandi</w:t>
      </w:r>
      <w:r w:rsidR="00F808D8">
        <w:rPr>
          <w:i/>
        </w:rPr>
        <w:t>ng of current RAN1 specification</w:t>
      </w:r>
      <w:r w:rsidRPr="00F808D8">
        <w:rPr>
          <w:i/>
        </w:rPr>
        <w:t xml:space="preserve"> text is Alt1</w:t>
      </w:r>
      <w:r>
        <w:t>.</w:t>
      </w:r>
    </w:p>
    <w:p w14:paraId="3EFAD4AF" w14:textId="0B1E5F89" w:rsidR="0055422E" w:rsidRDefault="009A6CF7" w:rsidP="003B049E">
      <w:pPr>
        <w:jc w:val="both"/>
      </w:pPr>
      <w:r>
        <w:t>Furthermore, in TS38.331, the CORESETs are configured</w:t>
      </w:r>
      <w:r w:rsidR="00F408A8">
        <w:t xml:space="preserve"> on BWPs, using full configurations, i.e. they are not configured per cell, and</w:t>
      </w:r>
      <w:r w:rsidR="005F53FD">
        <w:t xml:space="preserve"> they are not</w:t>
      </w:r>
      <w:r w:rsidR="00F408A8">
        <w:t xml:space="preserve"> tagged into BWP</w:t>
      </w:r>
      <w:r w:rsidR="0055422E">
        <w:t>s</w:t>
      </w:r>
      <w:r w:rsidR="00F408A8">
        <w:t xml:space="preserve">. </w:t>
      </w:r>
      <w:r w:rsidR="005F53FD">
        <w:t xml:space="preserve">According to </w:t>
      </w:r>
      <w:r w:rsidR="0055422E">
        <w:t xml:space="preserve">RAN2 </w:t>
      </w:r>
      <w:r w:rsidR="005F53FD">
        <w:t>status quo</w:t>
      </w:r>
      <w:r w:rsidR="00F408A8">
        <w:t>, A</w:t>
      </w:r>
      <w:r w:rsidR="005F53FD">
        <w:t>lt</w:t>
      </w:r>
      <w:r w:rsidR="00F408A8">
        <w:t xml:space="preserve">1 </w:t>
      </w:r>
      <w:r w:rsidR="0055422E">
        <w:t>is feasible</w:t>
      </w:r>
      <w:r w:rsidR="000F47D2">
        <w:t xml:space="preserve">. </w:t>
      </w:r>
    </w:p>
    <w:p w14:paraId="6E02BADC" w14:textId="0466F579" w:rsidR="000F47D2" w:rsidRDefault="0055422E" w:rsidP="003B049E">
      <w:pPr>
        <w:jc w:val="both"/>
      </w:pPr>
      <w:r>
        <w:t xml:space="preserve">On the other hand, RAN2 status quo does not solve the issue with CORESET0 misalignment with 6PRB grid of dedicated CORESET configuration as discussed in </w:t>
      </w:r>
      <w:r w:rsidR="003B049E">
        <w:rPr>
          <w:highlight w:val="yellow"/>
        </w:rPr>
        <w:fldChar w:fldCharType="begin"/>
      </w:r>
      <w:r w:rsidR="003B049E">
        <w:instrText xml:space="preserve"> REF _Ref513636618 \r \h </w:instrText>
      </w:r>
      <w:r w:rsidR="003B049E">
        <w:rPr>
          <w:highlight w:val="yellow"/>
        </w:rPr>
        <w:instrText xml:space="preserve"> \* MERGEFORMAT </w:instrText>
      </w:r>
      <w:r w:rsidR="003B049E">
        <w:rPr>
          <w:highlight w:val="yellow"/>
        </w:rPr>
      </w:r>
      <w:r w:rsidR="003B049E">
        <w:rPr>
          <w:highlight w:val="yellow"/>
        </w:rPr>
        <w:fldChar w:fldCharType="separate"/>
      </w:r>
      <w:r w:rsidR="003B049E">
        <w:t>[1]</w:t>
      </w:r>
      <w:r w:rsidR="003B049E">
        <w:rPr>
          <w:highlight w:val="yellow"/>
        </w:rPr>
        <w:fldChar w:fldCharType="end"/>
      </w:r>
      <w:r w:rsidR="00F808D8">
        <w:t xml:space="preserve"> and in the LS </w:t>
      </w:r>
      <w:r w:rsidR="003B049E">
        <w:fldChar w:fldCharType="begin"/>
      </w:r>
      <w:r w:rsidR="003B049E">
        <w:instrText xml:space="preserve"> REF _Ref513636775 \r \h  \* MERGEFORMAT </w:instrText>
      </w:r>
      <w:r w:rsidR="003B049E">
        <w:fldChar w:fldCharType="separate"/>
      </w:r>
      <w:r w:rsidR="003B049E">
        <w:t>[2]</w:t>
      </w:r>
      <w:r w:rsidR="003B049E">
        <w:fldChar w:fldCharType="end"/>
      </w:r>
      <w:r>
        <w:t xml:space="preserve">. </w:t>
      </w:r>
      <w:r w:rsidR="000F47D2">
        <w:t>There are several alternatives how to solve the misalignment of CORESET0 and dedicated CORESET.</w:t>
      </w:r>
    </w:p>
    <w:p w14:paraId="0D9031BA" w14:textId="15298378" w:rsidR="000F47D2" w:rsidRPr="000F47D2" w:rsidRDefault="000F47D2" w:rsidP="006818BE">
      <w:pPr>
        <w:rPr>
          <w:b/>
          <w:u w:val="single"/>
        </w:rPr>
      </w:pPr>
      <w:r w:rsidRPr="000F47D2">
        <w:rPr>
          <w:b/>
          <w:u w:val="single"/>
        </w:rPr>
        <w:t>Alternative 1</w:t>
      </w:r>
    </w:p>
    <w:p w14:paraId="08EEAB60" w14:textId="2B7DF2F8" w:rsidR="00883CBD" w:rsidRDefault="00F408A8" w:rsidP="006818BE">
      <w:r>
        <w:t>For reconfiguration of CORESET0</w:t>
      </w:r>
      <w:r w:rsidR="003E5F20">
        <w:t xml:space="preserve"> of initial access</w:t>
      </w:r>
      <w:r>
        <w:t xml:space="preserve">, the gNB may use </w:t>
      </w:r>
      <w:r w:rsidR="00621754">
        <w:t>(</w:t>
      </w:r>
      <w:r w:rsidR="003E5F20">
        <w:t>as a choice</w:t>
      </w:r>
      <w:r w:rsidR="00621754">
        <w:t>)</w:t>
      </w:r>
      <w:r w:rsidR="003E5F20">
        <w:t xml:space="preserve"> the following IE, which would be </w:t>
      </w:r>
      <w:r w:rsidR="00F31D83">
        <w:t>associated</w:t>
      </w:r>
      <w:r w:rsidR="003E5F20">
        <w:t xml:space="preserve"> to cell-defining SSB. </w:t>
      </w:r>
    </w:p>
    <w:p w14:paraId="22A943C4" w14:textId="77777777" w:rsidR="00F408A8" w:rsidRPr="00EF37E7" w:rsidRDefault="00F408A8" w:rsidP="00F408A8">
      <w:pPr>
        <w:pStyle w:val="PL"/>
        <w:rPr>
          <w:color w:val="808080"/>
        </w:rPr>
      </w:pPr>
      <w:r w:rsidRPr="00EF37E7">
        <w:rPr>
          <w:color w:val="808080"/>
        </w:rPr>
        <w:t>-- Determines a bandwidth for PDCCH/SIB, a common ControlResourceSet (CORESET) a common search space and necessary PDCCH parameters.</w:t>
      </w:r>
    </w:p>
    <w:p w14:paraId="52998D7E" w14:textId="77777777" w:rsidR="00F408A8" w:rsidRPr="00EF37E7" w:rsidRDefault="00F408A8" w:rsidP="00F408A8">
      <w:pPr>
        <w:pStyle w:val="PL"/>
        <w:rPr>
          <w:color w:val="808080"/>
        </w:rPr>
      </w:pPr>
      <w:r w:rsidRPr="00A21C0F">
        <w:tab/>
      </w:r>
      <w:r w:rsidRPr="00EF37E7">
        <w:rPr>
          <w:color w:val="808080"/>
        </w:rPr>
        <w:t>-- Corresponds to L1 parameter 'RMSI-PDCCH-Config' (see FFS_Specification, section FFS_Section)</w:t>
      </w:r>
    </w:p>
    <w:p w14:paraId="67D60C10" w14:textId="77777777" w:rsidR="00F408A8" w:rsidRPr="00A21C0F" w:rsidRDefault="00F408A8" w:rsidP="00FA3AFA">
      <w:pPr>
        <w:pStyle w:val="PL"/>
        <w:spacing w:after="240"/>
      </w:pPr>
      <w:r w:rsidRPr="00A21C0F">
        <w:tab/>
        <w:t>pdcch-ConfigSIB1</w:t>
      </w:r>
      <w:r w:rsidRPr="00A21C0F">
        <w:tab/>
      </w:r>
      <w:r w:rsidRPr="00A21C0F">
        <w:tab/>
      </w:r>
      <w:r w:rsidRPr="00A21C0F">
        <w:tab/>
      </w:r>
      <w:r w:rsidRPr="00A21C0F">
        <w:tab/>
      </w:r>
      <w:r w:rsidRPr="00A21C0F">
        <w:tab/>
      </w:r>
      <w:r w:rsidRPr="00550202">
        <w:rPr>
          <w:color w:val="993366"/>
        </w:rPr>
        <w:t>INTEGER</w:t>
      </w:r>
      <w:r w:rsidRPr="00922DF6">
        <w:t xml:space="preserve"> </w:t>
      </w:r>
      <w:r w:rsidRPr="00A21C0F">
        <w:t xml:space="preserve">(0..255), </w:t>
      </w:r>
    </w:p>
    <w:p w14:paraId="051BDF98" w14:textId="11197361" w:rsidR="000F47D2" w:rsidRPr="000F47D2" w:rsidRDefault="000F47D2" w:rsidP="006818BE">
      <w:pPr>
        <w:rPr>
          <w:b/>
          <w:u w:val="single"/>
        </w:rPr>
      </w:pPr>
      <w:r w:rsidRPr="000F47D2">
        <w:rPr>
          <w:b/>
          <w:u w:val="single"/>
        </w:rPr>
        <w:t>Alternative 2</w:t>
      </w:r>
    </w:p>
    <w:p w14:paraId="38A3FCEC" w14:textId="3D255D75" w:rsidR="00F408A8" w:rsidRDefault="000F47D2" w:rsidP="006818BE">
      <w:r>
        <w:t>RAN2 may</w:t>
      </w:r>
      <w:r w:rsidR="00621754">
        <w:t xml:space="preserve"> redesign the signalling structure by configuring CORESETs on a serving cell </w:t>
      </w:r>
      <w:r>
        <w:t xml:space="preserve">instead of BWP, </w:t>
      </w:r>
      <w:r w:rsidR="00621754">
        <w:t>and tagging them in BWP</w:t>
      </w:r>
      <w:r w:rsidR="00F808D8">
        <w:t>s</w:t>
      </w:r>
      <w:r>
        <w:t xml:space="preserve"> instead</w:t>
      </w:r>
      <w:r w:rsidR="00621754">
        <w:t xml:space="preserve">. This option is very unlikely to happen at this stage. </w:t>
      </w:r>
    </w:p>
    <w:p w14:paraId="6FAA716B" w14:textId="53F68C00" w:rsidR="000F47D2" w:rsidRPr="000F47D2" w:rsidRDefault="000F47D2" w:rsidP="006818BE">
      <w:pPr>
        <w:rPr>
          <w:b/>
          <w:u w:val="single"/>
        </w:rPr>
      </w:pPr>
      <w:r w:rsidRPr="000F47D2">
        <w:rPr>
          <w:b/>
          <w:u w:val="single"/>
        </w:rPr>
        <w:t>Alternative 3</w:t>
      </w:r>
    </w:p>
    <w:p w14:paraId="6F4BFDEC" w14:textId="22B9E38B" w:rsidR="000F47D2" w:rsidRDefault="00F31D83" w:rsidP="006818BE">
      <w:r>
        <w:t>RAN1 may a</w:t>
      </w:r>
      <w:bookmarkStart w:id="3" w:name="_GoBack"/>
      <w:bookmarkEnd w:id="3"/>
      <w:r w:rsidR="00621754">
        <w:t xml:space="preserve">lign dedicated CORESET configuration 6PRB grid with the lowest PRB of CORESET#0/ initial BWP, otherwise if initial BWP is not present on the serving cell, 6PRB grid may be </w:t>
      </w:r>
      <w:r w:rsidR="000F47D2">
        <w:t>aligned with Point A instead</w:t>
      </w:r>
      <w:r w:rsidR="00621754">
        <w:t>.</w:t>
      </w:r>
      <w:r w:rsidR="00FA3AFA">
        <w:t xml:space="preserve"> This option does not require any specification changes in RAN2.</w:t>
      </w:r>
      <w:r w:rsidR="00621754">
        <w:t xml:space="preserve"> </w:t>
      </w:r>
    </w:p>
    <w:p w14:paraId="3DEF3FEA" w14:textId="5D7F207A" w:rsidR="000F47D2" w:rsidRDefault="000F47D2" w:rsidP="006818BE">
      <w:r>
        <w:t xml:space="preserve">Furthermore, in </w:t>
      </w:r>
      <w:r w:rsidR="00F808D8">
        <w:t>RAN1#92b,</w:t>
      </w:r>
      <w:r>
        <w:t xml:space="preserve"> following has been agreed </w:t>
      </w:r>
    </w:p>
    <w:p w14:paraId="65DE2EC7" w14:textId="77777777" w:rsidR="000F47D2" w:rsidRPr="00F808D8" w:rsidRDefault="000F47D2" w:rsidP="000F47D2">
      <w:pPr>
        <w:rPr>
          <w:sz w:val="16"/>
          <w:szCs w:val="16"/>
        </w:rPr>
      </w:pPr>
      <w:r w:rsidRPr="00F808D8">
        <w:rPr>
          <w:sz w:val="16"/>
          <w:szCs w:val="16"/>
          <w:highlight w:val="green"/>
        </w:rPr>
        <w:t>Agreements</w:t>
      </w:r>
      <w:r w:rsidRPr="00F808D8">
        <w:rPr>
          <w:sz w:val="16"/>
          <w:szCs w:val="16"/>
        </w:rPr>
        <w:t>:</w:t>
      </w:r>
    </w:p>
    <w:p w14:paraId="17B571DF" w14:textId="77777777" w:rsidR="000F47D2" w:rsidRPr="00F808D8" w:rsidRDefault="000F47D2" w:rsidP="000F47D2">
      <w:pPr>
        <w:numPr>
          <w:ilvl w:val="0"/>
          <w:numId w:val="46"/>
        </w:numPr>
        <w:overflowPunct/>
        <w:autoSpaceDE/>
        <w:autoSpaceDN/>
        <w:adjustRightInd/>
        <w:spacing w:after="0"/>
        <w:textAlignment w:val="auto"/>
        <w:rPr>
          <w:i/>
          <w:sz w:val="16"/>
          <w:szCs w:val="16"/>
          <w:lang w:val="en-US"/>
        </w:rPr>
      </w:pPr>
      <w:r w:rsidRPr="00F808D8">
        <w:rPr>
          <w:i/>
          <w:sz w:val="16"/>
          <w:szCs w:val="16"/>
          <w:lang w:val="en-US"/>
        </w:rPr>
        <w:t>NW and UE maintain the same understanding on SSB/CORESET#0/SS#0 in connected_mode at least for non-broadcast PDCCH</w:t>
      </w:r>
    </w:p>
    <w:p w14:paraId="26DE28DE" w14:textId="77777777" w:rsidR="000F47D2" w:rsidRPr="00F808D8" w:rsidRDefault="000F47D2" w:rsidP="000F47D2">
      <w:pPr>
        <w:numPr>
          <w:ilvl w:val="1"/>
          <w:numId w:val="46"/>
        </w:numPr>
        <w:overflowPunct/>
        <w:autoSpaceDE/>
        <w:autoSpaceDN/>
        <w:adjustRightInd/>
        <w:spacing w:after="0"/>
        <w:textAlignment w:val="auto"/>
        <w:rPr>
          <w:i/>
          <w:sz w:val="16"/>
          <w:szCs w:val="16"/>
          <w:lang w:val="en-US"/>
        </w:rPr>
      </w:pPr>
      <w:r w:rsidRPr="00F808D8">
        <w:rPr>
          <w:i/>
          <w:sz w:val="16"/>
          <w:szCs w:val="16"/>
          <w:lang w:val="en-US"/>
        </w:rPr>
        <w:t>Solutions FFS</w:t>
      </w:r>
    </w:p>
    <w:p w14:paraId="33D2909C" w14:textId="77777777" w:rsidR="000F47D2" w:rsidRPr="00F808D8" w:rsidRDefault="000F47D2" w:rsidP="000F47D2">
      <w:pPr>
        <w:numPr>
          <w:ilvl w:val="0"/>
          <w:numId w:val="46"/>
        </w:numPr>
        <w:overflowPunct/>
        <w:autoSpaceDE/>
        <w:autoSpaceDN/>
        <w:adjustRightInd/>
        <w:spacing w:after="0"/>
        <w:textAlignment w:val="auto"/>
        <w:rPr>
          <w:i/>
          <w:sz w:val="16"/>
          <w:szCs w:val="16"/>
          <w:lang w:val="en-US"/>
        </w:rPr>
      </w:pPr>
      <w:r w:rsidRPr="00F808D8">
        <w:rPr>
          <w:i/>
          <w:sz w:val="16"/>
          <w:szCs w:val="16"/>
          <w:lang w:val="en-US"/>
        </w:rPr>
        <w:t>For the broadcast PDCCH, it is up to UE which common search space to monitor based on which SSB in both connected, in-active, and idle modes</w:t>
      </w:r>
    </w:p>
    <w:p w14:paraId="300280D9" w14:textId="77777777" w:rsidR="000F47D2" w:rsidRPr="000F47D2" w:rsidRDefault="000F47D2" w:rsidP="000F47D2">
      <w:pPr>
        <w:numPr>
          <w:ilvl w:val="0"/>
          <w:numId w:val="46"/>
        </w:numPr>
        <w:overflowPunct/>
        <w:autoSpaceDE/>
        <w:autoSpaceDN/>
        <w:adjustRightInd/>
        <w:spacing w:after="0"/>
        <w:textAlignment w:val="auto"/>
        <w:rPr>
          <w:i/>
          <w:lang w:val="en-US"/>
        </w:rPr>
      </w:pPr>
      <w:r w:rsidRPr="00F808D8">
        <w:rPr>
          <w:i/>
          <w:sz w:val="16"/>
          <w:szCs w:val="16"/>
          <w:lang w:val="en-US"/>
        </w:rPr>
        <w:t>Unicast PDSCH can be scheduled by a DCI associated with the CORESET #</w:t>
      </w:r>
      <w:r w:rsidRPr="000F47D2">
        <w:rPr>
          <w:i/>
          <w:lang w:val="en-US"/>
        </w:rPr>
        <w:t>0</w:t>
      </w:r>
    </w:p>
    <w:p w14:paraId="01BF2531" w14:textId="6B15C5F1" w:rsidR="000F47D2" w:rsidRDefault="000F47D2" w:rsidP="006818BE">
      <w:pPr>
        <w:rPr>
          <w:lang w:val="en-US"/>
        </w:rPr>
      </w:pPr>
    </w:p>
    <w:p w14:paraId="3D57A8D6" w14:textId="76BDF034" w:rsidR="000F47D2" w:rsidRPr="000F47D2" w:rsidRDefault="000F47D2" w:rsidP="003B049E">
      <w:pPr>
        <w:jc w:val="both"/>
        <w:rPr>
          <w:lang w:val="en-US"/>
        </w:rPr>
      </w:pPr>
      <w:r>
        <w:rPr>
          <w:lang w:val="en-US"/>
        </w:rPr>
        <w:t>Therefore, if C-RNTI</w:t>
      </w:r>
      <w:r w:rsidR="00FA3AFA">
        <w:rPr>
          <w:lang w:val="en-US"/>
        </w:rPr>
        <w:t xml:space="preserve"> (unicast)</w:t>
      </w:r>
      <w:r>
        <w:rPr>
          <w:lang w:val="en-US"/>
        </w:rPr>
        <w:t xml:space="preserve"> is scheduled in CORESET#0, there should be common understanding what is the QCL of the CORESET</w:t>
      </w:r>
      <w:r w:rsidR="00FA3AFA">
        <w:rPr>
          <w:lang w:val="en-US"/>
        </w:rPr>
        <w:t xml:space="preserve"> for unicast</w:t>
      </w:r>
      <w:r>
        <w:rPr>
          <w:lang w:val="en-US"/>
        </w:rPr>
        <w:t>. For that</w:t>
      </w:r>
      <w:r w:rsidR="005F53FD">
        <w:rPr>
          <w:lang w:val="en-US"/>
        </w:rPr>
        <w:t>,</w:t>
      </w:r>
      <w:r>
        <w:rPr>
          <w:lang w:val="en-US"/>
        </w:rPr>
        <w:t xml:space="preserve"> the </w:t>
      </w:r>
      <w:r w:rsidR="005F53FD">
        <w:rPr>
          <w:lang w:val="en-US"/>
        </w:rPr>
        <w:t>following IE should be configurable</w:t>
      </w:r>
    </w:p>
    <w:p w14:paraId="1DEB5010" w14:textId="77777777" w:rsidR="005F53FD" w:rsidRPr="00EF37E7" w:rsidRDefault="005F53FD" w:rsidP="005F53FD">
      <w:pPr>
        <w:pStyle w:val="PL"/>
        <w:rPr>
          <w:color w:val="808080"/>
        </w:rPr>
      </w:pPr>
      <w:r w:rsidRPr="00EF37E7">
        <w:rPr>
          <w:color w:val="808080"/>
        </w:rPr>
        <w:t xml:space="preserve">-- A subset of the TCI states defined in TCI-States used for providing QCL relationships between the DL RS(s) in one RS Set </w:t>
      </w:r>
    </w:p>
    <w:p w14:paraId="676B2A09" w14:textId="77777777" w:rsidR="005F53FD" w:rsidRPr="00EF37E7" w:rsidRDefault="005F53FD" w:rsidP="005F53FD">
      <w:pPr>
        <w:pStyle w:val="PL"/>
        <w:rPr>
          <w:color w:val="808080"/>
        </w:rPr>
      </w:pPr>
      <w:r w:rsidRPr="00A21C0F">
        <w:tab/>
      </w:r>
      <w:r w:rsidRPr="00EF37E7">
        <w:rPr>
          <w:color w:val="808080"/>
        </w:rPr>
        <w:t>-- (TCI-State) and the PDCCH DMRS ports. Corresponds to L1 parameter 'TCI-StatesPDCCH' (see 38.214, section FFS_Section)</w:t>
      </w:r>
    </w:p>
    <w:p w14:paraId="15388C44" w14:textId="77777777" w:rsidR="005F53FD" w:rsidRPr="00EF37E7" w:rsidRDefault="005F53FD" w:rsidP="005F53FD">
      <w:pPr>
        <w:pStyle w:val="PL"/>
        <w:ind w:left="284" w:hanging="284"/>
        <w:rPr>
          <w:color w:val="808080"/>
        </w:rPr>
      </w:pPr>
      <w:r w:rsidRPr="00A21C0F">
        <w:tab/>
        <w:t>tci-StatesPDCCH</w:t>
      </w:r>
      <w:r w:rsidRPr="00A21C0F">
        <w:tab/>
      </w:r>
      <w:r w:rsidRPr="00A21C0F">
        <w:tab/>
      </w:r>
      <w:r w:rsidRPr="00A21C0F">
        <w:tab/>
      </w:r>
      <w:r w:rsidRPr="00A21C0F">
        <w:tab/>
      </w:r>
      <w:r w:rsidRPr="00A21C0F">
        <w:tab/>
      </w:r>
      <w:r w:rsidRPr="00A21C0F">
        <w:tab/>
      </w:r>
      <w:r w:rsidRPr="00A21C0F">
        <w:tab/>
      </w:r>
      <w:r w:rsidRPr="00550202">
        <w:rPr>
          <w:color w:val="993366"/>
        </w:rPr>
        <w:t>SEQUENCE</w:t>
      </w:r>
      <w:r w:rsidRPr="00A21C0F">
        <w:t>(</w:t>
      </w:r>
      <w:r w:rsidRPr="00550202">
        <w:rPr>
          <w:color w:val="993366"/>
        </w:rPr>
        <w:t>SIZE</w:t>
      </w:r>
      <w:r w:rsidRPr="00A21C0F">
        <w:t xml:space="preserve"> (1..maxNrofTCI-StatesPDCCH))</w:t>
      </w:r>
      <w:r w:rsidRPr="00550202">
        <w:rPr>
          <w:color w:val="993366"/>
        </w:rPr>
        <w:t xml:space="preserve"> OF</w:t>
      </w:r>
      <w:r w:rsidRPr="00A21C0F">
        <w:t xml:space="preserve"> TCI-StateId</w:t>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050A2E97" w14:textId="1AC3B6C0" w:rsidR="000F47D2" w:rsidRDefault="000F47D2" w:rsidP="006818BE">
      <w:pPr>
        <w:rPr>
          <w:lang w:val="en-US"/>
        </w:rPr>
      </w:pPr>
    </w:p>
    <w:p w14:paraId="61469174" w14:textId="30552142" w:rsidR="005F53FD" w:rsidRDefault="005F53FD" w:rsidP="003B049E">
      <w:pPr>
        <w:jc w:val="both"/>
      </w:pPr>
      <w:r>
        <w:rPr>
          <w:lang w:val="en-US"/>
        </w:rPr>
        <w:lastRenderedPageBreak/>
        <w:t>Therefore, Alternative 3, which ena</w:t>
      </w:r>
      <w:r w:rsidR="00FA3AFA">
        <w:rPr>
          <w:lang w:val="en-US"/>
        </w:rPr>
        <w:t>bles full CORESET configuration</w:t>
      </w:r>
      <w:r>
        <w:rPr>
          <w:lang w:val="en-US"/>
        </w:rPr>
        <w:t xml:space="preserve"> </w:t>
      </w:r>
      <w:r w:rsidR="00FA3AFA">
        <w:rPr>
          <w:lang w:val="en-US"/>
        </w:rPr>
        <w:t>(</w:t>
      </w:r>
      <w:r>
        <w:rPr>
          <w:lang w:val="en-US"/>
        </w:rPr>
        <w:t xml:space="preserve">including </w:t>
      </w:r>
      <w:r w:rsidRPr="00A21C0F">
        <w:t>tci-StatesPDCCH</w:t>
      </w:r>
      <w:r w:rsidR="00FA3AFA">
        <w:t>) and does not require specification changes in RAN2</w:t>
      </w:r>
      <w:r>
        <w:t xml:space="preserve"> would be </w:t>
      </w:r>
      <w:r w:rsidR="00FA3AFA">
        <w:t>the preferred alternative</w:t>
      </w:r>
      <w:r>
        <w:t>.</w:t>
      </w:r>
    </w:p>
    <w:p w14:paraId="117203A4" w14:textId="2316320E" w:rsidR="00B337DA" w:rsidRDefault="006818BE" w:rsidP="00FA3AFA">
      <w:pPr>
        <w:rPr>
          <w:i/>
          <w:vertAlign w:val="subscript"/>
        </w:rPr>
      </w:pPr>
      <w:r>
        <w:rPr>
          <w:b/>
          <w:i/>
          <w:iCs/>
          <w:lang w:eastAsia="ko-KR"/>
        </w:rPr>
        <w:t xml:space="preserve">Proposal </w:t>
      </w:r>
      <w:r w:rsidR="005F53FD">
        <w:rPr>
          <w:b/>
          <w:i/>
          <w:iCs/>
          <w:lang w:eastAsia="ko-KR"/>
        </w:rPr>
        <w:t>2</w:t>
      </w:r>
      <w:r>
        <w:rPr>
          <w:b/>
          <w:i/>
          <w:iCs/>
          <w:lang w:eastAsia="ko-KR"/>
        </w:rPr>
        <w:t xml:space="preserve">: </w:t>
      </w:r>
      <w:r>
        <w:rPr>
          <w:i/>
          <w:iCs/>
          <w:lang w:eastAsia="ko-KR"/>
        </w:rPr>
        <w:t xml:space="preserve">Align </w:t>
      </w:r>
      <w:r>
        <w:rPr>
          <w:i/>
        </w:rPr>
        <w:t>6PRB grid for dedicated CORESET configuration with PRB0 of CORESET</w:t>
      </w:r>
      <w:r w:rsidR="00CF41BB">
        <w:rPr>
          <w:i/>
        </w:rPr>
        <w:t>#0</w:t>
      </w:r>
      <w:r>
        <w:rPr>
          <w:i/>
        </w:rPr>
        <w:t xml:space="preserve"> </w:t>
      </w:r>
      <w:r w:rsidR="00621754">
        <w:rPr>
          <w:i/>
        </w:rPr>
        <w:t>for serving cells with initial active BWP, otherwise align 6PRB grid for dedicated CORESET configuration with Point A</w:t>
      </w:r>
      <w:r w:rsidR="005F53FD">
        <w:rPr>
          <w:i/>
        </w:rPr>
        <w:t>.</w:t>
      </w:r>
      <w:r w:rsidR="00F808D8">
        <w:rPr>
          <w:i/>
        </w:rPr>
        <w:t xml:space="preserve"> </w:t>
      </w:r>
      <w:r w:rsidR="005F53FD">
        <w:rPr>
          <w:i/>
        </w:rPr>
        <w:t xml:space="preserve">Inform RAN2 about the decision. </w:t>
      </w:r>
      <w:r w:rsidR="001A5AF4">
        <w:rPr>
          <w:i/>
        </w:rPr>
        <w:tab/>
      </w: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332D179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NR-PDCCH</w:t>
      </w:r>
      <w:r w:rsidR="00E01399">
        <w:rPr>
          <w:bCs/>
        </w:rPr>
        <w:t xml:space="preserve"> structure</w:t>
      </w:r>
      <w:r w:rsidR="006060C2">
        <w:rPr>
          <w:bCs/>
        </w:rPr>
        <w:t>.</w:t>
      </w:r>
      <w:r w:rsidR="00342AD2">
        <w:rPr>
          <w:bCs/>
        </w:rPr>
        <w:t xml:space="preserve"> Based on the discussion, we make the following</w:t>
      </w:r>
      <w:r w:rsidR="00A643E0">
        <w:rPr>
          <w:bCs/>
        </w:rPr>
        <w:t xml:space="preserve"> </w:t>
      </w:r>
      <w:r w:rsidR="00342AD2">
        <w:rPr>
          <w:bCs/>
        </w:rPr>
        <w:t>proposal</w:t>
      </w:r>
      <w:r w:rsidR="006060C2">
        <w:rPr>
          <w:bCs/>
        </w:rPr>
        <w:t>s</w:t>
      </w:r>
      <w:r w:rsidR="00FB3307">
        <w:rPr>
          <w:bCs/>
        </w:rPr>
        <w:t xml:space="preserve"> an observation</w:t>
      </w:r>
      <w:r w:rsidR="00342AD2">
        <w:rPr>
          <w:bCs/>
        </w:rPr>
        <w:t>:</w:t>
      </w:r>
    </w:p>
    <w:p w14:paraId="3F493DDC" w14:textId="77777777" w:rsidR="003B049E" w:rsidRDefault="003B049E" w:rsidP="003B049E">
      <w:pPr>
        <w:jc w:val="both"/>
      </w:pPr>
      <w:r w:rsidRPr="00D0246D">
        <w:rPr>
          <w:rFonts w:eastAsia="Times New Roman"/>
          <w:b/>
          <w:i/>
          <w:lang w:val="en-US" w:eastAsia="fi-FI"/>
        </w:rPr>
        <w:t xml:space="preserve">Proposal </w:t>
      </w:r>
      <w:r>
        <w:rPr>
          <w:rFonts w:eastAsia="Times New Roman"/>
          <w:b/>
          <w:i/>
          <w:lang w:val="en-US" w:eastAsia="fi-FI"/>
        </w:rPr>
        <w:t>1</w:t>
      </w:r>
      <w:r w:rsidRPr="00D0246D">
        <w:rPr>
          <w:rFonts w:eastAsia="Times New Roman"/>
          <w:b/>
          <w:i/>
          <w:lang w:val="en-US" w:eastAsia="fi-FI"/>
        </w:rPr>
        <w:t>:</w:t>
      </w:r>
      <w:r w:rsidRPr="00D0246D">
        <w:rPr>
          <w:rFonts w:eastAsia="Times New Roman"/>
          <w:i/>
          <w:lang w:val="en-US" w:eastAsia="fi-FI"/>
        </w:rPr>
        <w:t xml:space="preserve"> </w:t>
      </w:r>
      <w:r>
        <w:rPr>
          <w:rFonts w:eastAsia="Times New Roman"/>
          <w:i/>
          <w:lang w:val="en-US" w:eastAsia="fi-FI"/>
        </w:rPr>
        <w:t>D</w:t>
      </w:r>
      <w:r w:rsidRPr="005A57FB">
        <w:rPr>
          <w:rFonts w:eastAsia="Times New Roman"/>
          <w:i/>
          <w:lang w:val="en-US" w:eastAsia="fi-FI"/>
        </w:rPr>
        <w:t>etermine</w:t>
      </w:r>
      <w:r>
        <w:rPr>
          <w:rFonts w:eastAsia="Times New Roman"/>
          <w:i/>
          <w:lang w:val="en-US" w:eastAsia="fi-FI"/>
        </w:rPr>
        <w:t xml:space="preserve"> parameter</w:t>
      </w:r>
      <w:r w:rsidRPr="005A57FB">
        <w:rPr>
          <w:rFonts w:eastAsia="Times New Roman"/>
          <w:i/>
          <w:lang w:val="en-US" w:eastAsia="fi-FI"/>
        </w:rPr>
        <w:t xml:space="preserve"> l in the PDCCH DMRS initialization relative to the </w:t>
      </w:r>
      <w:r>
        <w:rPr>
          <w:rFonts w:eastAsia="Times New Roman"/>
          <w:i/>
          <w:lang w:val="en-US" w:eastAsia="fi-FI"/>
        </w:rPr>
        <w:t>PDCCH</w:t>
      </w:r>
      <w:r w:rsidRPr="005A57FB">
        <w:rPr>
          <w:rFonts w:eastAsia="Times New Roman"/>
          <w:i/>
          <w:lang w:val="en-US" w:eastAsia="fi-FI"/>
        </w:rPr>
        <w:t xml:space="preserve"> starting symbol</w:t>
      </w:r>
      <w:r>
        <w:rPr>
          <w:rFonts w:eastAsia="Times New Roman"/>
          <w:i/>
          <w:lang w:val="en-US" w:eastAsia="fi-FI"/>
        </w:rPr>
        <w:t>.</w:t>
      </w:r>
      <w:r w:rsidRPr="006818BE">
        <w:t xml:space="preserve"> </w:t>
      </w:r>
    </w:p>
    <w:p w14:paraId="77D6EDA5" w14:textId="0D7499C9" w:rsidR="003B049E" w:rsidRDefault="003B049E" w:rsidP="003B049E">
      <w:r w:rsidRPr="00CF272A">
        <w:rPr>
          <w:b/>
          <w:i/>
        </w:rPr>
        <w:t>Observation 1:</w:t>
      </w:r>
      <w:r>
        <w:t xml:space="preserve"> </w:t>
      </w:r>
      <w:r w:rsidRPr="00CF272A">
        <w:rPr>
          <w:i/>
        </w:rPr>
        <w:t>Pseudo-orthogonal multi-user multiplexing of PDCCH on the same CCE(s) is currently not possible, if gNB wants to operate both CSS and USS in the same CORESET.</w:t>
      </w:r>
    </w:p>
    <w:p w14:paraId="0B67D326" w14:textId="0163F65E" w:rsidR="003B049E" w:rsidRDefault="003B049E" w:rsidP="003B049E">
      <w:r w:rsidRPr="00F808D8">
        <w:rPr>
          <w:b/>
          <w:i/>
        </w:rPr>
        <w:t>Observation 2</w:t>
      </w:r>
      <w:r w:rsidRPr="00F808D8">
        <w:rPr>
          <w:i/>
        </w:rPr>
        <w:t>: Our understandi</w:t>
      </w:r>
      <w:r>
        <w:rPr>
          <w:i/>
        </w:rPr>
        <w:t>ng of current RAN1 specification</w:t>
      </w:r>
      <w:r w:rsidRPr="00F808D8">
        <w:rPr>
          <w:i/>
        </w:rPr>
        <w:t xml:space="preserve"> text is Alt1</w:t>
      </w:r>
      <w:r>
        <w:rPr>
          <w:i/>
        </w:rPr>
        <w:t xml:space="preserve"> (in Section 3)</w:t>
      </w:r>
      <w:r>
        <w:t>.</w:t>
      </w:r>
    </w:p>
    <w:p w14:paraId="291C0431" w14:textId="77777777" w:rsidR="003B049E" w:rsidRDefault="003B049E" w:rsidP="003B049E">
      <w:pPr>
        <w:rPr>
          <w:i/>
          <w:vertAlign w:val="subscript"/>
        </w:rPr>
      </w:pPr>
      <w:r>
        <w:rPr>
          <w:b/>
          <w:i/>
          <w:iCs/>
          <w:lang w:eastAsia="ko-KR"/>
        </w:rPr>
        <w:t xml:space="preserve">Proposal 2: </w:t>
      </w:r>
      <w:r>
        <w:rPr>
          <w:i/>
          <w:iCs/>
          <w:lang w:eastAsia="ko-KR"/>
        </w:rPr>
        <w:t xml:space="preserve">Align </w:t>
      </w:r>
      <w:r>
        <w:rPr>
          <w:i/>
        </w:rPr>
        <w:t xml:space="preserve">6PRB grid for dedicated CORESET configuration with PRB0 of CORESET#0 for serving cells with initial active BWP, otherwise align 6PRB grid for dedicated CORESET configuration with Point A. Inform RAN2 about the decision. </w:t>
      </w:r>
      <w:r>
        <w:rPr>
          <w:i/>
        </w:rPr>
        <w:tab/>
      </w:r>
    </w:p>
    <w:p w14:paraId="2F0729C1" w14:textId="77777777" w:rsidR="0034111C" w:rsidRPr="00BD5468" w:rsidRDefault="0034111C" w:rsidP="00495C73">
      <w:pPr>
        <w:pStyle w:val="Heading1"/>
      </w:pPr>
      <w:bookmarkStart w:id="4" w:name="_Hlk505720451"/>
      <w:r w:rsidRPr="00BD5468">
        <w:t>References</w:t>
      </w:r>
      <w:r w:rsidR="00A2459D" w:rsidRPr="00BD5468">
        <w:t xml:space="preserve"> </w:t>
      </w:r>
      <w:bookmarkEnd w:id="4"/>
    </w:p>
    <w:p w14:paraId="5D9A50F6" w14:textId="4AA6B632" w:rsidR="000D2810" w:rsidRDefault="00CD144A" w:rsidP="00CD144A">
      <w:pPr>
        <w:numPr>
          <w:ilvl w:val="0"/>
          <w:numId w:val="1"/>
        </w:numPr>
        <w:rPr>
          <w:sz w:val="18"/>
        </w:rPr>
      </w:pPr>
      <w:bookmarkStart w:id="5" w:name="_Ref513636618"/>
      <w:r w:rsidRPr="00CD144A">
        <w:rPr>
          <w:sz w:val="18"/>
          <w:lang w:eastAsia="zh-CN"/>
        </w:rPr>
        <w:t>R1-1804759</w:t>
      </w:r>
      <w:r w:rsidR="00BA675D" w:rsidRPr="00CD144A">
        <w:rPr>
          <w:sz w:val="18"/>
          <w:lang w:eastAsia="zh-CN"/>
        </w:rPr>
        <w:t>, “</w:t>
      </w:r>
      <w:r w:rsidRPr="00CD144A">
        <w:rPr>
          <w:i/>
          <w:noProof/>
        </w:rPr>
        <w:t>Remaining details on PDCCH structure</w:t>
      </w:r>
      <w:r w:rsidR="00BA675D" w:rsidRPr="00CD144A">
        <w:rPr>
          <w:sz w:val="18"/>
          <w:lang w:eastAsia="zh-CN"/>
        </w:rPr>
        <w:t xml:space="preserve">”, </w:t>
      </w:r>
      <w:r w:rsidRPr="00CD144A">
        <w:rPr>
          <w:sz w:val="18"/>
          <w:lang w:eastAsia="zh-CN"/>
        </w:rPr>
        <w:t>Nokia, Nokia Shanghai Bell</w:t>
      </w:r>
      <w:bookmarkEnd w:id="5"/>
    </w:p>
    <w:p w14:paraId="78A8752D" w14:textId="21508E50" w:rsidR="003B049E" w:rsidRPr="00CD144A" w:rsidRDefault="003B049E" w:rsidP="003B049E">
      <w:pPr>
        <w:numPr>
          <w:ilvl w:val="0"/>
          <w:numId w:val="1"/>
        </w:numPr>
        <w:rPr>
          <w:sz w:val="18"/>
        </w:rPr>
      </w:pPr>
      <w:bookmarkStart w:id="6" w:name="_Ref513636775"/>
      <w:r w:rsidRPr="003B049E">
        <w:rPr>
          <w:sz w:val="18"/>
        </w:rPr>
        <w:t>R1-1805726</w:t>
      </w:r>
      <w:r>
        <w:rPr>
          <w:sz w:val="18"/>
        </w:rPr>
        <w:t>, “</w:t>
      </w:r>
      <w:r w:rsidRPr="003B049E">
        <w:rPr>
          <w:i/>
          <w:sz w:val="18"/>
        </w:rPr>
        <w:t>Reply LS on SI Reception in BWP LGE</w:t>
      </w:r>
      <w:r>
        <w:rPr>
          <w:sz w:val="18"/>
        </w:rPr>
        <w:t>”</w:t>
      </w:r>
      <w:r w:rsidRPr="003B049E">
        <w:rPr>
          <w:sz w:val="18"/>
        </w:rPr>
        <w:t>, MediaTek</w:t>
      </w:r>
      <w:bookmarkEnd w:id="6"/>
    </w:p>
    <w:p w14:paraId="291180AD" w14:textId="0E054613" w:rsidR="008436EA" w:rsidRDefault="008436EA" w:rsidP="00BA675D">
      <w:pPr>
        <w:ind w:left="357"/>
        <w:rPr>
          <w:sz w:val="18"/>
        </w:rPr>
      </w:pPr>
    </w:p>
    <w:sectPr w:rsidR="008436EA" w:rsidSect="00663EAE">
      <w:headerReference w:type="default" r:id="rId34"/>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F1465" w14:textId="77777777" w:rsidR="003F47A7" w:rsidRDefault="003F47A7">
      <w:r>
        <w:separator/>
      </w:r>
    </w:p>
  </w:endnote>
  <w:endnote w:type="continuationSeparator" w:id="0">
    <w:p w14:paraId="7A8FEA1C" w14:textId="77777777" w:rsidR="003F47A7" w:rsidRDefault="003F47A7">
      <w:r>
        <w:continuationSeparator/>
      </w:r>
    </w:p>
  </w:endnote>
  <w:endnote w:type="continuationNotice" w:id="1">
    <w:p w14:paraId="102AC5BE" w14:textId="77777777" w:rsidR="003F47A7" w:rsidRDefault="003F4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302C31" w:rsidRDefault="00302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1814B" w14:textId="77777777" w:rsidR="003F47A7" w:rsidRDefault="003F47A7">
      <w:r>
        <w:separator/>
      </w:r>
    </w:p>
  </w:footnote>
  <w:footnote w:type="continuationSeparator" w:id="0">
    <w:p w14:paraId="26BBFFB0" w14:textId="77777777" w:rsidR="003F47A7" w:rsidRDefault="003F47A7">
      <w:r>
        <w:continuationSeparator/>
      </w:r>
    </w:p>
  </w:footnote>
  <w:footnote w:type="continuationNotice" w:id="1">
    <w:p w14:paraId="3B7A6C9F" w14:textId="77777777" w:rsidR="003F47A7" w:rsidRDefault="003F4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302C31" w:rsidRDefault="00302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4AB7"/>
    <w:multiLevelType w:val="hybridMultilevel"/>
    <w:tmpl w:val="054693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D5497C"/>
    <w:multiLevelType w:val="hybridMultilevel"/>
    <w:tmpl w:val="9844E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6"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ED249E"/>
    <w:multiLevelType w:val="hybridMultilevel"/>
    <w:tmpl w:val="F24AB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9"/>
  </w:num>
  <w:num w:numId="3">
    <w:abstractNumId w:val="18"/>
  </w:num>
  <w:num w:numId="4">
    <w:abstractNumId w:val="10"/>
  </w:num>
  <w:num w:numId="5">
    <w:abstractNumId w:val="43"/>
  </w:num>
  <w:num w:numId="6">
    <w:abstractNumId w:val="5"/>
  </w:num>
  <w:num w:numId="7">
    <w:abstractNumId w:val="34"/>
  </w:num>
  <w:num w:numId="8">
    <w:abstractNumId w:val="41"/>
  </w:num>
  <w:num w:numId="9">
    <w:abstractNumId w:val="0"/>
  </w:num>
  <w:num w:numId="10">
    <w:abstractNumId w:val="44"/>
  </w:num>
  <w:num w:numId="11">
    <w:abstractNumId w:val="39"/>
  </w:num>
  <w:num w:numId="12">
    <w:abstractNumId w:val="36"/>
  </w:num>
  <w:num w:numId="13">
    <w:abstractNumId w:val="27"/>
  </w:num>
  <w:num w:numId="14">
    <w:abstractNumId w:val="26"/>
  </w:num>
  <w:num w:numId="15">
    <w:abstractNumId w:val="31"/>
  </w:num>
  <w:num w:numId="16">
    <w:abstractNumId w:val="29"/>
  </w:num>
  <w:num w:numId="17">
    <w:abstractNumId w:val="13"/>
  </w:num>
  <w:num w:numId="18">
    <w:abstractNumId w:val="4"/>
  </w:num>
  <w:num w:numId="19">
    <w:abstractNumId w:val="20"/>
  </w:num>
  <w:num w:numId="20">
    <w:abstractNumId w:val="16"/>
  </w:num>
  <w:num w:numId="21">
    <w:abstractNumId w:val="33"/>
  </w:num>
  <w:num w:numId="22">
    <w:abstractNumId w:val="7"/>
  </w:num>
  <w:num w:numId="23">
    <w:abstractNumId w:val="32"/>
  </w:num>
  <w:num w:numId="24">
    <w:abstractNumId w:val="2"/>
  </w:num>
  <w:num w:numId="25">
    <w:abstractNumId w:val="23"/>
  </w:num>
  <w:num w:numId="26">
    <w:abstractNumId w:val="24"/>
  </w:num>
  <w:num w:numId="27">
    <w:abstractNumId w:val="22"/>
  </w:num>
  <w:num w:numId="28">
    <w:abstractNumId w:val="25"/>
  </w:num>
  <w:num w:numId="29">
    <w:abstractNumId w:val="35"/>
  </w:num>
  <w:num w:numId="30">
    <w:abstractNumId w:val="8"/>
  </w:num>
  <w:num w:numId="31">
    <w:abstractNumId w:val="37"/>
  </w:num>
  <w:num w:numId="32">
    <w:abstractNumId w:val="17"/>
  </w:num>
  <w:num w:numId="33">
    <w:abstractNumId w:val="14"/>
  </w:num>
  <w:num w:numId="34">
    <w:abstractNumId w:val="9"/>
  </w:num>
  <w:num w:numId="35">
    <w:abstractNumId w:val="1"/>
  </w:num>
  <w:num w:numId="36">
    <w:abstractNumId w:val="42"/>
  </w:num>
  <w:num w:numId="37">
    <w:abstractNumId w:val="38"/>
  </w:num>
  <w:num w:numId="38">
    <w:abstractNumId w:val="3"/>
  </w:num>
  <w:num w:numId="39">
    <w:abstractNumId w:val="40"/>
  </w:num>
  <w:num w:numId="40">
    <w:abstractNumId w:val="12"/>
  </w:num>
  <w:num w:numId="41">
    <w:abstractNumId w:val="11"/>
  </w:num>
  <w:num w:numId="42">
    <w:abstractNumId w:val="15"/>
  </w:num>
  <w:num w:numId="43">
    <w:abstractNumId w:val="30"/>
  </w:num>
  <w:num w:numId="44">
    <w:abstractNumId w:val="29"/>
  </w:num>
  <w:num w:numId="45">
    <w:abstractNumId w:val="6"/>
  </w:num>
  <w:num w:numId="46">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544"/>
    <w:rsid w:val="00056949"/>
    <w:rsid w:val="00060269"/>
    <w:rsid w:val="00060D8E"/>
    <w:rsid w:val="00062159"/>
    <w:rsid w:val="00062ABB"/>
    <w:rsid w:val="000631B7"/>
    <w:rsid w:val="000639F4"/>
    <w:rsid w:val="00063D9E"/>
    <w:rsid w:val="000645C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0D0C"/>
    <w:rsid w:val="00081EC2"/>
    <w:rsid w:val="000823FE"/>
    <w:rsid w:val="00083800"/>
    <w:rsid w:val="00083C3D"/>
    <w:rsid w:val="00084A65"/>
    <w:rsid w:val="000867F7"/>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810"/>
    <w:rsid w:val="000D29D1"/>
    <w:rsid w:val="000D2B0A"/>
    <w:rsid w:val="000D3286"/>
    <w:rsid w:val="000D344D"/>
    <w:rsid w:val="000D3FBC"/>
    <w:rsid w:val="000D40E7"/>
    <w:rsid w:val="000D4360"/>
    <w:rsid w:val="000D47F3"/>
    <w:rsid w:val="000D584F"/>
    <w:rsid w:val="000E071E"/>
    <w:rsid w:val="000E2156"/>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7D2"/>
    <w:rsid w:val="000F4CB2"/>
    <w:rsid w:val="000F4EC0"/>
    <w:rsid w:val="000F568D"/>
    <w:rsid w:val="000F6351"/>
    <w:rsid w:val="000F72E8"/>
    <w:rsid w:val="00101C4F"/>
    <w:rsid w:val="00102C9F"/>
    <w:rsid w:val="001036C8"/>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7AC"/>
    <w:rsid w:val="00123A30"/>
    <w:rsid w:val="00123FC0"/>
    <w:rsid w:val="0012430B"/>
    <w:rsid w:val="00124665"/>
    <w:rsid w:val="00124E12"/>
    <w:rsid w:val="001264D8"/>
    <w:rsid w:val="0012673D"/>
    <w:rsid w:val="001269B8"/>
    <w:rsid w:val="00127099"/>
    <w:rsid w:val="00130783"/>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477"/>
    <w:rsid w:val="001A5AF4"/>
    <w:rsid w:val="001A5E19"/>
    <w:rsid w:val="001A5E1A"/>
    <w:rsid w:val="001B01FA"/>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05CB"/>
    <w:rsid w:val="001D1A3F"/>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AAA"/>
    <w:rsid w:val="0021683C"/>
    <w:rsid w:val="00221985"/>
    <w:rsid w:val="00221B64"/>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413"/>
    <w:rsid w:val="00241311"/>
    <w:rsid w:val="00241F82"/>
    <w:rsid w:val="00242E22"/>
    <w:rsid w:val="002431D6"/>
    <w:rsid w:val="0024336B"/>
    <w:rsid w:val="0024406F"/>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D05"/>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E48"/>
    <w:rsid w:val="00283728"/>
    <w:rsid w:val="00283894"/>
    <w:rsid w:val="0028443D"/>
    <w:rsid w:val="00284C7E"/>
    <w:rsid w:val="00284E32"/>
    <w:rsid w:val="002851EB"/>
    <w:rsid w:val="00285510"/>
    <w:rsid w:val="00285DE2"/>
    <w:rsid w:val="0028616D"/>
    <w:rsid w:val="0028644E"/>
    <w:rsid w:val="00286495"/>
    <w:rsid w:val="002865E2"/>
    <w:rsid w:val="00286965"/>
    <w:rsid w:val="002869D5"/>
    <w:rsid w:val="00286AE7"/>
    <w:rsid w:val="0029136E"/>
    <w:rsid w:val="00292399"/>
    <w:rsid w:val="00293D90"/>
    <w:rsid w:val="00294445"/>
    <w:rsid w:val="00294B4D"/>
    <w:rsid w:val="00294E53"/>
    <w:rsid w:val="00295FFD"/>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0CA"/>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74D"/>
    <w:rsid w:val="002F695B"/>
    <w:rsid w:val="002F72DA"/>
    <w:rsid w:val="002F76B1"/>
    <w:rsid w:val="002F7C08"/>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1560"/>
    <w:rsid w:val="00393E44"/>
    <w:rsid w:val="00394270"/>
    <w:rsid w:val="003977DC"/>
    <w:rsid w:val="00397AB6"/>
    <w:rsid w:val="00397ACA"/>
    <w:rsid w:val="003A10C3"/>
    <w:rsid w:val="003A2F16"/>
    <w:rsid w:val="003A597F"/>
    <w:rsid w:val="003A71A8"/>
    <w:rsid w:val="003B00CA"/>
    <w:rsid w:val="003B030B"/>
    <w:rsid w:val="003B0432"/>
    <w:rsid w:val="003B049E"/>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5F20"/>
    <w:rsid w:val="003E63CE"/>
    <w:rsid w:val="003E64A9"/>
    <w:rsid w:val="003E7002"/>
    <w:rsid w:val="003E7905"/>
    <w:rsid w:val="003F0336"/>
    <w:rsid w:val="003F1FD2"/>
    <w:rsid w:val="003F2147"/>
    <w:rsid w:val="003F4488"/>
    <w:rsid w:val="003F47A7"/>
    <w:rsid w:val="003F5547"/>
    <w:rsid w:val="003F5C40"/>
    <w:rsid w:val="003F6E12"/>
    <w:rsid w:val="003F75ED"/>
    <w:rsid w:val="004002B7"/>
    <w:rsid w:val="00400F31"/>
    <w:rsid w:val="00403A2A"/>
    <w:rsid w:val="00405A3B"/>
    <w:rsid w:val="00406B4D"/>
    <w:rsid w:val="00411168"/>
    <w:rsid w:val="004122C2"/>
    <w:rsid w:val="0041443C"/>
    <w:rsid w:val="00415324"/>
    <w:rsid w:val="004154F7"/>
    <w:rsid w:val="00416D44"/>
    <w:rsid w:val="00416EB8"/>
    <w:rsid w:val="004174BE"/>
    <w:rsid w:val="004176FF"/>
    <w:rsid w:val="00421A27"/>
    <w:rsid w:val="00421AEB"/>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1E1"/>
    <w:rsid w:val="00434406"/>
    <w:rsid w:val="00437A1D"/>
    <w:rsid w:val="00440FED"/>
    <w:rsid w:val="00441194"/>
    <w:rsid w:val="00441A95"/>
    <w:rsid w:val="00441B0A"/>
    <w:rsid w:val="00441B92"/>
    <w:rsid w:val="00442607"/>
    <w:rsid w:val="0044474B"/>
    <w:rsid w:val="00445FF7"/>
    <w:rsid w:val="00450575"/>
    <w:rsid w:val="004509A6"/>
    <w:rsid w:val="00453341"/>
    <w:rsid w:val="00453EF8"/>
    <w:rsid w:val="004544F9"/>
    <w:rsid w:val="004545C6"/>
    <w:rsid w:val="00454DCA"/>
    <w:rsid w:val="00455576"/>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D90"/>
    <w:rsid w:val="00482CD4"/>
    <w:rsid w:val="00483261"/>
    <w:rsid w:val="00483779"/>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007"/>
    <w:rsid w:val="004B4224"/>
    <w:rsid w:val="004B4647"/>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C7D"/>
    <w:rsid w:val="004C6DFA"/>
    <w:rsid w:val="004C7441"/>
    <w:rsid w:val="004C795A"/>
    <w:rsid w:val="004C7F93"/>
    <w:rsid w:val="004D26B8"/>
    <w:rsid w:val="004D38C2"/>
    <w:rsid w:val="004D4FBD"/>
    <w:rsid w:val="004D4FC0"/>
    <w:rsid w:val="004D6EC1"/>
    <w:rsid w:val="004D7DA8"/>
    <w:rsid w:val="004E2892"/>
    <w:rsid w:val="004E33AD"/>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05427"/>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2E"/>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57FB"/>
    <w:rsid w:val="005A6BC4"/>
    <w:rsid w:val="005A704D"/>
    <w:rsid w:val="005B1FF6"/>
    <w:rsid w:val="005B2B51"/>
    <w:rsid w:val="005B34D4"/>
    <w:rsid w:val="005B3C6D"/>
    <w:rsid w:val="005B4045"/>
    <w:rsid w:val="005B49A7"/>
    <w:rsid w:val="005B609E"/>
    <w:rsid w:val="005B6C55"/>
    <w:rsid w:val="005B6DF6"/>
    <w:rsid w:val="005B6EA6"/>
    <w:rsid w:val="005B780E"/>
    <w:rsid w:val="005B7B7D"/>
    <w:rsid w:val="005B7C34"/>
    <w:rsid w:val="005C09CC"/>
    <w:rsid w:val="005C1948"/>
    <w:rsid w:val="005C245F"/>
    <w:rsid w:val="005C263C"/>
    <w:rsid w:val="005C2679"/>
    <w:rsid w:val="005C268D"/>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3F49"/>
    <w:rsid w:val="005E5E1A"/>
    <w:rsid w:val="005E6C16"/>
    <w:rsid w:val="005F0108"/>
    <w:rsid w:val="005F0ECC"/>
    <w:rsid w:val="005F21A5"/>
    <w:rsid w:val="005F2470"/>
    <w:rsid w:val="005F28C6"/>
    <w:rsid w:val="005F3F16"/>
    <w:rsid w:val="005F47C9"/>
    <w:rsid w:val="005F52CC"/>
    <w:rsid w:val="005F53FD"/>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754"/>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2196"/>
    <w:rsid w:val="00633BF2"/>
    <w:rsid w:val="00633F67"/>
    <w:rsid w:val="006345C3"/>
    <w:rsid w:val="0063615A"/>
    <w:rsid w:val="006362F9"/>
    <w:rsid w:val="006369A9"/>
    <w:rsid w:val="006373CD"/>
    <w:rsid w:val="006403AC"/>
    <w:rsid w:val="0064165D"/>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9011A"/>
    <w:rsid w:val="00690691"/>
    <w:rsid w:val="00690E2E"/>
    <w:rsid w:val="006915D7"/>
    <w:rsid w:val="006927AC"/>
    <w:rsid w:val="00692814"/>
    <w:rsid w:val="006932E7"/>
    <w:rsid w:val="00693347"/>
    <w:rsid w:val="0069334C"/>
    <w:rsid w:val="00695EA1"/>
    <w:rsid w:val="00696D63"/>
    <w:rsid w:val="006A032F"/>
    <w:rsid w:val="006A41AE"/>
    <w:rsid w:val="006A4856"/>
    <w:rsid w:val="006A564B"/>
    <w:rsid w:val="006A6166"/>
    <w:rsid w:val="006B08CF"/>
    <w:rsid w:val="006B0B29"/>
    <w:rsid w:val="006B0B90"/>
    <w:rsid w:val="006B1470"/>
    <w:rsid w:val="006B152D"/>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3196"/>
    <w:rsid w:val="006F3C54"/>
    <w:rsid w:val="006F4ACC"/>
    <w:rsid w:val="006F5E64"/>
    <w:rsid w:val="006F60DE"/>
    <w:rsid w:val="006F6BBD"/>
    <w:rsid w:val="006F73DA"/>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372F1"/>
    <w:rsid w:val="007408D5"/>
    <w:rsid w:val="00741C59"/>
    <w:rsid w:val="00742B44"/>
    <w:rsid w:val="0074655A"/>
    <w:rsid w:val="007469B7"/>
    <w:rsid w:val="00753BB5"/>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CE6"/>
    <w:rsid w:val="007D6F64"/>
    <w:rsid w:val="007E25AB"/>
    <w:rsid w:val="007E2812"/>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4F9"/>
    <w:rsid w:val="00824894"/>
    <w:rsid w:val="00824F51"/>
    <w:rsid w:val="00825366"/>
    <w:rsid w:val="00826C7B"/>
    <w:rsid w:val="00826DD9"/>
    <w:rsid w:val="00826E01"/>
    <w:rsid w:val="008277A8"/>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7F5"/>
    <w:rsid w:val="00845927"/>
    <w:rsid w:val="00846292"/>
    <w:rsid w:val="00847885"/>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43F3"/>
    <w:rsid w:val="0087444A"/>
    <w:rsid w:val="00875139"/>
    <w:rsid w:val="00875410"/>
    <w:rsid w:val="00875659"/>
    <w:rsid w:val="00876483"/>
    <w:rsid w:val="00880EDF"/>
    <w:rsid w:val="00881D4F"/>
    <w:rsid w:val="008824AD"/>
    <w:rsid w:val="00882DE6"/>
    <w:rsid w:val="00883CBD"/>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238D"/>
    <w:rsid w:val="009036BC"/>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6E25"/>
    <w:rsid w:val="00957076"/>
    <w:rsid w:val="00957132"/>
    <w:rsid w:val="009576FD"/>
    <w:rsid w:val="009578EB"/>
    <w:rsid w:val="009578FF"/>
    <w:rsid w:val="00960446"/>
    <w:rsid w:val="00960D66"/>
    <w:rsid w:val="009610ED"/>
    <w:rsid w:val="00961DDB"/>
    <w:rsid w:val="009633BB"/>
    <w:rsid w:val="0096354A"/>
    <w:rsid w:val="0096485F"/>
    <w:rsid w:val="00965981"/>
    <w:rsid w:val="00966B46"/>
    <w:rsid w:val="0096726D"/>
    <w:rsid w:val="00967354"/>
    <w:rsid w:val="00970C4B"/>
    <w:rsid w:val="00971592"/>
    <w:rsid w:val="00971DDF"/>
    <w:rsid w:val="009731D6"/>
    <w:rsid w:val="009744A4"/>
    <w:rsid w:val="00974746"/>
    <w:rsid w:val="00974C40"/>
    <w:rsid w:val="00975119"/>
    <w:rsid w:val="00976F04"/>
    <w:rsid w:val="009775E9"/>
    <w:rsid w:val="009777F4"/>
    <w:rsid w:val="00977AD8"/>
    <w:rsid w:val="00980581"/>
    <w:rsid w:val="00980A10"/>
    <w:rsid w:val="00981130"/>
    <w:rsid w:val="0098242A"/>
    <w:rsid w:val="00983038"/>
    <w:rsid w:val="00983D46"/>
    <w:rsid w:val="00983DCA"/>
    <w:rsid w:val="00985EF7"/>
    <w:rsid w:val="00986396"/>
    <w:rsid w:val="00986CF9"/>
    <w:rsid w:val="00987416"/>
    <w:rsid w:val="00987B58"/>
    <w:rsid w:val="00987BD8"/>
    <w:rsid w:val="009907E2"/>
    <w:rsid w:val="00990C0E"/>
    <w:rsid w:val="00990D75"/>
    <w:rsid w:val="00991093"/>
    <w:rsid w:val="0099163B"/>
    <w:rsid w:val="00992343"/>
    <w:rsid w:val="00993003"/>
    <w:rsid w:val="0099429B"/>
    <w:rsid w:val="00995A65"/>
    <w:rsid w:val="00996306"/>
    <w:rsid w:val="00996744"/>
    <w:rsid w:val="009967DA"/>
    <w:rsid w:val="00997CF4"/>
    <w:rsid w:val="009A1169"/>
    <w:rsid w:val="009A1AAC"/>
    <w:rsid w:val="009A3789"/>
    <w:rsid w:val="009A4860"/>
    <w:rsid w:val="009A6919"/>
    <w:rsid w:val="009A6AC7"/>
    <w:rsid w:val="009A6CC2"/>
    <w:rsid w:val="009A6CF7"/>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5988"/>
    <w:rsid w:val="009E5AF5"/>
    <w:rsid w:val="009E5EB5"/>
    <w:rsid w:val="009E623F"/>
    <w:rsid w:val="009E74F0"/>
    <w:rsid w:val="009F0768"/>
    <w:rsid w:val="009F12F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3BDD"/>
    <w:rsid w:val="00A84805"/>
    <w:rsid w:val="00A858C5"/>
    <w:rsid w:val="00A86EA7"/>
    <w:rsid w:val="00A87B30"/>
    <w:rsid w:val="00A91244"/>
    <w:rsid w:val="00A91AA1"/>
    <w:rsid w:val="00A920EC"/>
    <w:rsid w:val="00A92776"/>
    <w:rsid w:val="00A93181"/>
    <w:rsid w:val="00A938E6"/>
    <w:rsid w:val="00A93CCF"/>
    <w:rsid w:val="00A95BD5"/>
    <w:rsid w:val="00A96F78"/>
    <w:rsid w:val="00A97CD6"/>
    <w:rsid w:val="00AA04F8"/>
    <w:rsid w:val="00AA1087"/>
    <w:rsid w:val="00AA150A"/>
    <w:rsid w:val="00AA25A9"/>
    <w:rsid w:val="00AA26D9"/>
    <w:rsid w:val="00AA27F5"/>
    <w:rsid w:val="00AA3603"/>
    <w:rsid w:val="00AA3DEA"/>
    <w:rsid w:val="00AA4AE2"/>
    <w:rsid w:val="00AA51AD"/>
    <w:rsid w:val="00AA591E"/>
    <w:rsid w:val="00AA65C9"/>
    <w:rsid w:val="00AB0A32"/>
    <w:rsid w:val="00AB0E56"/>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9EC"/>
    <w:rsid w:val="00B20B94"/>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428"/>
    <w:rsid w:val="00B555FB"/>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7F4"/>
    <w:rsid w:val="00B7291A"/>
    <w:rsid w:val="00B72AA4"/>
    <w:rsid w:val="00B753B6"/>
    <w:rsid w:val="00B75454"/>
    <w:rsid w:val="00B76BCD"/>
    <w:rsid w:val="00B76EE9"/>
    <w:rsid w:val="00B77880"/>
    <w:rsid w:val="00B77FD9"/>
    <w:rsid w:val="00B80D90"/>
    <w:rsid w:val="00B82537"/>
    <w:rsid w:val="00B82613"/>
    <w:rsid w:val="00B828B5"/>
    <w:rsid w:val="00B83B0D"/>
    <w:rsid w:val="00B83E73"/>
    <w:rsid w:val="00B84E9C"/>
    <w:rsid w:val="00B85522"/>
    <w:rsid w:val="00B869DF"/>
    <w:rsid w:val="00B90E2A"/>
    <w:rsid w:val="00B90F2A"/>
    <w:rsid w:val="00B9198D"/>
    <w:rsid w:val="00B93008"/>
    <w:rsid w:val="00B9406D"/>
    <w:rsid w:val="00B944C0"/>
    <w:rsid w:val="00B9466F"/>
    <w:rsid w:val="00B94BA7"/>
    <w:rsid w:val="00B94BE9"/>
    <w:rsid w:val="00B94E0E"/>
    <w:rsid w:val="00B96736"/>
    <w:rsid w:val="00B97CA3"/>
    <w:rsid w:val="00BA143E"/>
    <w:rsid w:val="00BA3D7B"/>
    <w:rsid w:val="00BA675D"/>
    <w:rsid w:val="00BA76A9"/>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4A5"/>
    <w:rsid w:val="00BC58B9"/>
    <w:rsid w:val="00BC5F5F"/>
    <w:rsid w:val="00BC6A49"/>
    <w:rsid w:val="00BD0E81"/>
    <w:rsid w:val="00BD399D"/>
    <w:rsid w:val="00BD3E68"/>
    <w:rsid w:val="00BD5468"/>
    <w:rsid w:val="00BD598A"/>
    <w:rsid w:val="00BD692E"/>
    <w:rsid w:val="00BD75B4"/>
    <w:rsid w:val="00BD7BFE"/>
    <w:rsid w:val="00BD7D14"/>
    <w:rsid w:val="00BE02B4"/>
    <w:rsid w:val="00BE0A4E"/>
    <w:rsid w:val="00BE1553"/>
    <w:rsid w:val="00BE2797"/>
    <w:rsid w:val="00BE31D7"/>
    <w:rsid w:val="00BE3BE1"/>
    <w:rsid w:val="00BE4EC9"/>
    <w:rsid w:val="00BE51BF"/>
    <w:rsid w:val="00BE631E"/>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668C"/>
    <w:rsid w:val="00C17012"/>
    <w:rsid w:val="00C178FB"/>
    <w:rsid w:val="00C22B28"/>
    <w:rsid w:val="00C22B5A"/>
    <w:rsid w:val="00C232AB"/>
    <w:rsid w:val="00C24077"/>
    <w:rsid w:val="00C257B7"/>
    <w:rsid w:val="00C25F86"/>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40FE"/>
    <w:rsid w:val="00C650CF"/>
    <w:rsid w:val="00C6528C"/>
    <w:rsid w:val="00C6598C"/>
    <w:rsid w:val="00C661E8"/>
    <w:rsid w:val="00C6648F"/>
    <w:rsid w:val="00C6715E"/>
    <w:rsid w:val="00C671D0"/>
    <w:rsid w:val="00C70084"/>
    <w:rsid w:val="00C70C3C"/>
    <w:rsid w:val="00C71582"/>
    <w:rsid w:val="00C718E9"/>
    <w:rsid w:val="00C7235B"/>
    <w:rsid w:val="00C72E18"/>
    <w:rsid w:val="00C731AD"/>
    <w:rsid w:val="00C73553"/>
    <w:rsid w:val="00C7380B"/>
    <w:rsid w:val="00C74421"/>
    <w:rsid w:val="00C74670"/>
    <w:rsid w:val="00C7542D"/>
    <w:rsid w:val="00C75F2F"/>
    <w:rsid w:val="00C75FEE"/>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44A"/>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272A"/>
    <w:rsid w:val="00CF393D"/>
    <w:rsid w:val="00CF41BB"/>
    <w:rsid w:val="00CF4ABD"/>
    <w:rsid w:val="00CF5A53"/>
    <w:rsid w:val="00CF5D28"/>
    <w:rsid w:val="00CF6942"/>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3C9B"/>
    <w:rsid w:val="00D64426"/>
    <w:rsid w:val="00D645A3"/>
    <w:rsid w:val="00D65D78"/>
    <w:rsid w:val="00D67BC5"/>
    <w:rsid w:val="00D7021B"/>
    <w:rsid w:val="00D7073E"/>
    <w:rsid w:val="00D70D33"/>
    <w:rsid w:val="00D71749"/>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9F5"/>
    <w:rsid w:val="00DD5E12"/>
    <w:rsid w:val="00DD6A61"/>
    <w:rsid w:val="00DE0C66"/>
    <w:rsid w:val="00DE0C67"/>
    <w:rsid w:val="00DE1904"/>
    <w:rsid w:val="00DE21C8"/>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463"/>
    <w:rsid w:val="00E20577"/>
    <w:rsid w:val="00E20CCC"/>
    <w:rsid w:val="00E215CE"/>
    <w:rsid w:val="00E239D1"/>
    <w:rsid w:val="00E26727"/>
    <w:rsid w:val="00E26970"/>
    <w:rsid w:val="00E27791"/>
    <w:rsid w:val="00E30F2D"/>
    <w:rsid w:val="00E313D4"/>
    <w:rsid w:val="00E319DB"/>
    <w:rsid w:val="00E31AFC"/>
    <w:rsid w:val="00E33889"/>
    <w:rsid w:val="00E33B0B"/>
    <w:rsid w:val="00E3409E"/>
    <w:rsid w:val="00E34F76"/>
    <w:rsid w:val="00E372D9"/>
    <w:rsid w:val="00E37BE5"/>
    <w:rsid w:val="00E41A27"/>
    <w:rsid w:val="00E4211B"/>
    <w:rsid w:val="00E4285A"/>
    <w:rsid w:val="00E430C7"/>
    <w:rsid w:val="00E445BD"/>
    <w:rsid w:val="00E45832"/>
    <w:rsid w:val="00E45E0C"/>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848"/>
    <w:rsid w:val="00E84A3B"/>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1D47"/>
    <w:rsid w:val="00EB2146"/>
    <w:rsid w:val="00EB2317"/>
    <w:rsid w:val="00EB279B"/>
    <w:rsid w:val="00EB2ABB"/>
    <w:rsid w:val="00EB31DF"/>
    <w:rsid w:val="00EB4D36"/>
    <w:rsid w:val="00EB55CA"/>
    <w:rsid w:val="00EB584C"/>
    <w:rsid w:val="00EB5D88"/>
    <w:rsid w:val="00EB7307"/>
    <w:rsid w:val="00EC0CFF"/>
    <w:rsid w:val="00EC14B0"/>
    <w:rsid w:val="00EC1EE3"/>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DE4"/>
    <w:rsid w:val="00F27C15"/>
    <w:rsid w:val="00F27FA6"/>
    <w:rsid w:val="00F31D83"/>
    <w:rsid w:val="00F337F7"/>
    <w:rsid w:val="00F33DC8"/>
    <w:rsid w:val="00F34350"/>
    <w:rsid w:val="00F34444"/>
    <w:rsid w:val="00F34F36"/>
    <w:rsid w:val="00F360A6"/>
    <w:rsid w:val="00F36F33"/>
    <w:rsid w:val="00F4065A"/>
    <w:rsid w:val="00F408A8"/>
    <w:rsid w:val="00F40F19"/>
    <w:rsid w:val="00F423D5"/>
    <w:rsid w:val="00F4275C"/>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3EF8"/>
    <w:rsid w:val="00F657CF"/>
    <w:rsid w:val="00F66A00"/>
    <w:rsid w:val="00F713A3"/>
    <w:rsid w:val="00F719B0"/>
    <w:rsid w:val="00F71A8F"/>
    <w:rsid w:val="00F73E5A"/>
    <w:rsid w:val="00F75330"/>
    <w:rsid w:val="00F76234"/>
    <w:rsid w:val="00F76BD9"/>
    <w:rsid w:val="00F80318"/>
    <w:rsid w:val="00F80703"/>
    <w:rsid w:val="00F808D8"/>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AFA"/>
    <w:rsid w:val="00FA3F80"/>
    <w:rsid w:val="00FA413A"/>
    <w:rsid w:val="00FA4144"/>
    <w:rsid w:val="00FA4DDF"/>
    <w:rsid w:val="00FA68DC"/>
    <w:rsid w:val="00FA6E7F"/>
    <w:rsid w:val="00FA7114"/>
    <w:rsid w:val="00FB0826"/>
    <w:rsid w:val="00FB1A83"/>
    <w:rsid w:val="00FB2379"/>
    <w:rsid w:val="00FB3307"/>
    <w:rsid w:val="00FB4B8A"/>
    <w:rsid w:val="00FB5152"/>
    <w:rsid w:val="00FB59FD"/>
    <w:rsid w:val="00FB680E"/>
    <w:rsid w:val="00FC0065"/>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AA"/>
    <w:rsid w:val="00FD70AE"/>
    <w:rsid w:val="00FE002E"/>
    <w:rsid w:val="00FE04B0"/>
    <w:rsid w:val="00FE1223"/>
    <w:rsid w:val="00FE2398"/>
    <w:rsid w:val="00FE2427"/>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qFormat/>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146765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5AIRPNAIUNRU-1830940522-3180</_dlc_DocId>
    <_dlc_DocIdUrl xmlns="71c5aaf6-e6ce-465b-b873-5148d2a4c105">
      <Url>https://nokia.sharepoint.com/sites/c5g/5gradio/_layouts/15/DocIdRedir.aspx?ID=5AIRPNAIUNRU-1830940522-3180</Url>
      <Description>5AIRPNAIUNRU-1830940522-3180</Description>
    </_dlc_DocIdUrl>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7175930-A8E8-40BE-9DED-81A979EA2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264332-CF26-4E8B-80E7-8AF7D8ED0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210</TotalTime>
  <Pages>4</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Karol Schober</cp:lastModifiedBy>
  <cp:revision>13</cp:revision>
  <cp:lastPrinted>2016-06-20T11:35:00Z</cp:lastPrinted>
  <dcterms:created xsi:type="dcterms:W3CDTF">2018-04-06T04:20:00Z</dcterms:created>
  <dcterms:modified xsi:type="dcterms:W3CDTF">2018-05-11T13:34:00Z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b6d5d9e4-7ec5-4d75-a159-1000ac3d3d03</vt:lpwstr>
  </property>
</Properties>
</file>